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w:themeColor="background1" filled="t"/>
  </w:background>
  <w:body>
    <w:p>
      <w:pPr>
        <w:jc w:val="center"/>
      </w:pPr>
      <w:r>
        <w:br/>
      </w:r>
      <w:r>
        <w:drawing>
          <wp:inline distT="0" distB="0" distL="0" distR="0">
            <wp:extent cx="3657600" cy="3620150"/>
            <wp:docPr id="1925430848" name="Drawing 0" descr="title_logo"/>
            <wp:cNvGraphicFramePr/>
            <a:graphic xmlns:a="http://schemas.openxmlformats.org/drawingml/2006/main">
              <a:graphicData uri="http://schemas.openxmlformats.org/drawingml/2006/picture">
                <pic:pic xmlns:pic="http://schemas.openxmlformats.org/drawingml/2006/picture">
                  <pic:nvPicPr>
                    <pic:cNvPr id="1925430848" name="Picture 0" descr="title_logo"/>
                    <pic:cNvPicPr>
                      <a:picLocks noChangeAspect="1"/>
                    </pic:cNvPicPr>
                  </pic:nvPicPr>
                  <pic:blipFill>
                    <a:blip xmlns:r="http://schemas.openxmlformats.org/officeDocument/2006/relationships" r:embed="rId7"/>
                    <a:stretch>
                      <a:fillRect/>
                    </a:stretch>
                  </pic:blipFill>
                  <pic:spPr>
                    <a:xfrm>
                      <a:off x="0" y="0"/>
                      <a:ext cx="3657600" cy="3620150"/>
                    </a:xfrm>
                    <a:prstGeom prst="rect">
                      <a:avLst/>
                    </a:prstGeom>
                  </pic:spPr>
                </pic:pic>
              </a:graphicData>
            </a:graphic>
          </wp:inline>
        </w:drawing>
      </w:r>
    </w:p>
    <w:p>
      <w:r>
        <w:br w:type="page"/>
      </w:r>
    </w:p>
    <w:p/>
    <w:p w:rsidR="00233190" w14:paraId="4449FFAE" w14:textId="77777777">
      <w:r>
        <w:rPr>
          <w:noProof/>
        </w:rPr>
        <w:pict>
          <v:group id="Group 114" o:spid="_x0000_s1026" style="width:17.26pt;height:765.38pt;margin-top:21.75pt;margin-left:33.1pt;mso-height-percent:909;mso-position-horizontal-relative:page;mso-position-vertical-relative:page;mso-width-percent:29;position:absolute;z-index:251658240" coordsize="2286,91440">
            <v:rect id="Rectangle 115" o:spid="_x0000_s1027" style="width:2286;height:87820;position:absolute;visibility:visible;v-text-anchor:middle" filled="f" stroked="f" strokeweight="1.5pt">
              <v:stroke endcap="round"/>
            </v:rect>
            <v:rect id="Rectangle 116" o:spid="_x0000_s1028" style="width:2286;height:2286;position:absolute;top:89154;visibility:visible;v-text-anchor:middle" filled="f" stroked="f" strokeweight="1.5pt">
              <v:stroke endcap="round"/>
              <o:lock v:ext="edit" aspectratio="t"/>
            </v:rect>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
      <w:tblGrid>
        <w:gridCol w:w="3600"/>
        <w:gridCol w:w="4860"/>
      </w:tblGrid>
      <w:tr w14:paraId="41919F51" w14:textId="77777777" w:rsidTr="003F04E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Ex>
        <w:trPr>
          <w:gridAfter w:val="1"/>
          <w:wAfter w:w="4860" w:type="dxa"/>
        </w:trPr>
        <w:tc>
          <w:tcPr>
            <w:tcW w:w="3600" w:type="dxa"/>
          </w:tcPr>
          <w:p w:rsidR="006E64F3" w:rsidRPr="0003272A" w:rsidP="00F23DC4" w14:paraId="65E29C43" w14:textId="77777777">
            <w:pPr>
              <w:spacing w:line="360" w:lineRule="auto"/>
              <w:rPr>
                <w:rStyle w:val="BookTitle"/>
                <w:b/>
                <w:bCs/>
              </w:rPr>
            </w:pPr>
          </w:p>
        </w:tc>
      </w:tr>
      <w:tr w14:paraId="60D776CA" w14:textId="77777777" w:rsidTr="003F04EF">
        <w:tblPrEx>
          <w:tblW w:w="0" w:type="auto"/>
          <w:tblLook w:val="0680"/>
        </w:tblPrEx>
        <w:tc>
          <w:tcPr>
            <w:tcW w:w="3600" w:type="dxa"/>
          </w:tcPr>
          <w:p w:rsidR="00F23DC4" w:rsidRPr="0003272A" w:rsidP="008E17BD" w14:paraId="0A99AC43" w14:textId="77777777">
            <w:pPr>
              <w:rPr>
                <w:rStyle w:val="BookTitle"/>
                <w:b/>
                <w:bCs/>
                <w:color w:val="808080" w:themeColor="background1" w:themeShade="80"/>
              </w:rPr>
            </w:pPr>
            <w:r w:rsidRPr="0003272A">
              <w:rPr>
                <w:rStyle w:val="BookTitle"/>
                <w:b/>
                <w:bCs/>
                <w:color w:val="808080" w:themeColor="background1" w:themeShade="80"/>
              </w:rPr>
              <w:t xml:space="preserve">Last Update Date </w:t>
            </w:r>
          </w:p>
        </w:tc>
        <w:tc>
          <w:tcPr>
            <w:tcW w:w="4860" w:type="dxa"/>
          </w:tcPr>
          <w:p w:rsidR="00F23DC4" w:rsidP="008E17BD" w14:paraId="447244E8" w14:textId="77777777">
            <w:pPr>
              <w:rPr>
                <w:rStyle w:val="BookTitle"/>
                <w:color w:val="808080" w:themeColor="background1" w:themeShade="80"/>
              </w:rPr>
            </w:pPr>
            <w:r w:rsidRPr="0003272A">
              <w:rPr>
                <w:rStyle w:val="BookTitle"/>
                <w:color w:val="808080" w:themeColor="background1" w:themeShade="80"/>
              </w:rPr>
              <w:t>12-05-2025</w:t>
            </w:r>
          </w:p>
          <w:p w:rsidR="003F04EF" w:rsidRPr="0003272A" w:rsidP="008E17BD" w14:paraId="6ECA4574" w14:textId="77777777">
            <w:pPr>
              <w:rPr>
                <w:rStyle w:val="BookTitle"/>
                <w:color w:val="808080" w:themeColor="background1" w:themeShade="80"/>
              </w:rPr>
            </w:pPr>
          </w:p>
        </w:tc>
      </w:tr>
      <w:tr w14:paraId="44040F89" w14:textId="77777777" w:rsidTr="003F04EF">
        <w:tblPrEx>
          <w:tblW w:w="0" w:type="auto"/>
          <w:tblLook w:val="0680"/>
        </w:tblPrEx>
        <w:tc>
          <w:tcPr>
            <w:tcW w:w="3600" w:type="dxa"/>
          </w:tcPr>
          <w:p w:rsidR="00F23DC4" w:rsidRPr="0003272A" w:rsidP="008E17BD" w14:paraId="44F502C4" w14:textId="77777777">
            <w:pPr>
              <w:rPr>
                <w:rStyle w:val="BookTitle"/>
                <w:b/>
                <w:bCs/>
                <w:color w:val="808080" w:themeColor="background1" w:themeShade="80"/>
              </w:rPr>
            </w:pPr>
            <w:r w:rsidRPr="0003272A">
              <w:rPr>
                <w:rStyle w:val="BookTitle"/>
                <w:b/>
                <w:bCs/>
                <w:color w:val="808080" w:themeColor="background1" w:themeShade="80"/>
              </w:rPr>
              <w:t>Owner</w:t>
            </w:r>
          </w:p>
        </w:tc>
        <w:tc>
          <w:tcPr>
            <w:tcW w:w="4860" w:type="dxa"/>
          </w:tcPr>
          <w:p w:rsidR="00F23DC4" w:rsidP="008E17BD" w14:paraId="7C642B84" w14:textId="77777777">
            <w:pPr>
              <w:rPr>
                <w:rStyle w:val="BookTitle"/>
                <w:color w:val="808080" w:themeColor="background1" w:themeShade="80"/>
              </w:rPr>
            </w:pPr>
            <w:r w:rsidRPr="0003272A">
              <w:rPr>
                <w:rStyle w:val="BookTitle"/>
                <w:color w:val="808080" w:themeColor="background1" w:themeShade="80"/>
              </w:rPr>
              <w:t>Michael Ioannou</w:t>
            </w:r>
          </w:p>
          <w:p w:rsidR="00F82934" w:rsidRPr="0003272A" w:rsidP="008E17BD" w14:paraId="0677FBD0" w14:textId="77777777">
            <w:pPr>
              <w:rPr>
                <w:rStyle w:val="BookTitle"/>
                <w:color w:val="808080" w:themeColor="background1" w:themeShade="80"/>
              </w:rPr>
            </w:pPr>
          </w:p>
        </w:tc>
      </w:tr>
      <w:tr w14:paraId="17687FE0" w14:textId="77777777" w:rsidTr="003F04EF">
        <w:tblPrEx>
          <w:tblW w:w="0" w:type="auto"/>
          <w:tblLook w:val="0680"/>
        </w:tblPrEx>
        <w:tc>
          <w:tcPr>
            <w:tcW w:w="3600" w:type="dxa"/>
          </w:tcPr>
          <w:p w:rsidR="00F82934" w:rsidRPr="0003272A" w:rsidP="00F82934" w14:paraId="3EE4B00A" w14:textId="5C9E90C1">
            <w:pPr>
              <w:rPr>
                <w:rStyle w:val="BookTitle"/>
                <w:color w:val="808080" w:themeColor="background1" w:themeShade="80"/>
              </w:rPr>
            </w:pPr>
            <w:r>
              <w:rPr>
                <w:rStyle w:val="BookTitle"/>
                <w:b/>
                <w:bCs/>
                <w:color w:val="808080" w:themeColor="background1" w:themeShade="80"/>
              </w:rPr>
              <w:t>Status</w:t>
            </w:r>
          </w:p>
        </w:tc>
        <w:tc>
          <w:tcPr>
            <w:tcW w:w="4860" w:type="dxa"/>
          </w:tcPr>
          <w:p w:rsidR="00F82934" w:rsidRPr="0003272A" w:rsidP="00F82934" w14:paraId="66424546" w14:textId="1847A574">
            <w:pPr>
              <w:rPr>
                <w:rStyle w:val="BookTitle"/>
                <w:color w:val="808080" w:themeColor="background1" w:themeShade="80"/>
              </w:rPr>
            </w:pPr>
            <w:r w:rsidRPr="0003272A">
              <w:rPr>
                <w:rStyle w:val="BookTitle"/>
                <w:color w:val="808080" w:themeColor="background1" w:themeShade="80"/>
              </w:rPr>
              <w:t>Draft</w:t>
            </w:r>
          </w:p>
        </w:tc>
      </w:tr>
    </w:tbl>
    <w:p w:rsidR="00546F7A" w14:paraId="6AD4E4B7" w14:textId="77777777"/>
    <w:p w:rsidR="00546F7A" w14:paraId="04573A8B" w14:textId="77777777"/>
    <w:p w:rsidR="00546F7A" w14:paraId="216D95EE" w14:textId="77777777"/>
    <w:p w:rsidR="00546F7A" w14:paraId="7A7BF047" w14:textId="05558F33"/>
    <w:p w:rsidR="00F82934" w14:paraId="009AAA0D" w14:textId="77777777">
      <w:pPr>
        <w:rPr>
          <w:color w:val="595959" w:themeColor="text1" w:themeTint="A6"/>
          <w:szCs w:val="18"/>
        </w:rPr>
      </w:pPr>
    </w:p>
    <w:p w:rsidR="00F82934" w:rsidRPr="00233190" w14:paraId="19B76CD1" w14:textId="77777777">
      <w:pPr>
        <w:rPr>
          <w:color w:val="595959" w:themeColor="text1" w:themeTint="A6"/>
          <w:sz w:val="18"/>
          <w:szCs w:val="18"/>
        </w:rPr>
      </w:pPr>
    </w:p>
    <w:tbl>
      <w:tblPr>
        <w:tblStyle w:val="ListTable2-Accent21"/>
        <w:tblpPr w:leftFromText="180" w:rightFromText="180" w:vertAnchor="text" w:horzAnchor="margin" w:tblpY="72"/>
        <w:tblW w:w="0" w:type="auto"/>
        <w:tblLook w:val="0680"/>
      </w:tblPr>
      <w:tblGrid>
        <w:gridCol w:w="8610"/>
      </w:tblGrid>
      <w:tr w14:paraId="67823647" w14:textId="77777777" w:rsidTr="00D14DAC">
        <w:tblPrEx>
          <w:tblW w:w="0" w:type="auto"/>
          <w:tblLook w:val="0680"/>
        </w:tblPrEx>
        <w:trPr>
          <w:trHeight w:val="1410"/>
        </w:trPr>
        <w:tc>
          <w:tcPr>
            <w:tcW w:w="8610" w:type="dxa"/>
            <w:tcBorders>
              <w:top w:val="nil"/>
              <w:left w:val="nil"/>
              <w:bottom w:val="nil"/>
              <w:right w:val="nil"/>
            </w:tcBorders>
            <w:hideMark/>
          </w:tcPr>
          <w:p w:rsidR="00921133" w:rsidP="008E17BD" w14:paraId="7FBDDA83" w14:textId="77777777">
            <w:pPr>
              <w:pStyle w:val="Title"/>
              <w:rPr>
                <w:rStyle w:val="BookTitle"/>
                <w:b/>
                <w:bCs/>
                <w:color w:val="262626" w:themeColor="text1" w:themeTint="D9"/>
                <w:sz w:val="72"/>
                <w:szCs w:val="72"/>
              </w:rPr>
            </w:pPr>
            <w:r w:rsidRPr="001663BC">
              <w:rPr>
                <w:rStyle w:val="BookTitle"/>
                <w:color w:val="262626" w:themeColor="text1" w:themeTint="D9"/>
                <w:sz w:val="72"/>
                <w:szCs w:val="72"/>
              </w:rPr>
              <w:t>Application Security Policy</w:t>
            </w:r>
          </w:p>
          <w:p w:rsidR="00354146" w:rsidP="00354146" w14:paraId="3174C435" w14:textId="77777777">
            <w:pPr>
              <w:rPr>
                <w:b w:val="0"/>
                <w:bCs w:val="0"/>
              </w:rPr>
            </w:pPr>
          </w:p>
          <w:p w:rsidR="00354146" w:rsidP="00354146" w14:paraId="6797FF64" w14:textId="77777777">
            <w:pPr>
              <w:rPr>
                <w:b w:val="0"/>
                <w:bCs w:val="0"/>
              </w:rPr>
            </w:pPr>
          </w:p>
          <w:p w:rsidR="00FA1F45" w:rsidP="000607F3" w14:paraId="4D2D8CDF" w14:textId="77777777">
            <w:pPr>
              <w:rPr>
                <w:rStyle w:val="BookTitle"/>
                <w:sz w:val="28"/>
                <w:szCs w:val="28"/>
              </w:rPr>
            </w:pPr>
          </w:p>
        </w:tc>
      </w:tr>
    </w:tbl>
    <w:p w:rsidR="000607F3" w:rsidRPr="00857238" w:rsidP="000607F3" w14:paraId="096937E2" w14:textId="77777777">
      <w:pPr>
        <w:rPr>
          <w:rStyle w:val="BookTitle"/>
          <w:smallCaps w:val="0"/>
          <w:szCs w:val="24"/>
        </w:rPr>
      </w:pPr>
      <w:r>
        <w:rPr>
          <w:szCs w:val="24"/>
        </w:rPr>
        <w:t>No Approval History</w:t>
      </w:r>
    </w:p>
    <w:p w:rsidR="00714E12" w14:paraId="249196C5" w14:textId="77777777"/>
    <w:p w:rsidR="00714E12" w14:paraId="0051C9DA" w14:textId="77777777"/>
    <w:p/>
    <w:p w:rsidR="00CC454A" w:rsidRPr="00CC454A" w:rsidP="00714E12" w14:paraId="498E8734" w14:textId="77777777">
      <w:pPr>
        <w:rPr>
          <w:rStyle w:val="BookTitle"/>
          <w:b w:val="0"/>
          <w:bCs w:val="0"/>
          <w:smallCaps w:val="0"/>
          <w:szCs w:val="24"/>
        </w:rPr>
      </w:pPr>
    </w:p>
    <w:p>
      <w:pPr>
        <w:pStyle w:val="Heading2"/>
      </w:pPr>
      <w:r>
        <w:t>Purpose</w:t>
      </w:r>
    </w:p>
    <w:p>
      <w:pPr>
        <w:pStyle w:val="NormalWeb"/>
        <w:divId w:val="1521144810"/>
        <w:rPr>
          <w:rFonts w:ascii="Calibri" w:hAnsi="Calibri"/>
          <w:sz w:val="23"/>
          <w:szCs w:val="23"/>
        </w:rPr>
      </w:pPr>
      <w:r>
        <w:rPr>
          <w:rFonts w:ascii="Calibri" w:hAnsi="Calibri"/>
          <w:sz w:val="23"/>
          <w:szCs w:val="23"/>
        </w:rPr>
        <w:t>The purpose of the Application Security Policy is to define the security framework and requirements for the security of applications, notably web applications, within the Clone's production environment.</w:t>
      </w:r>
    </w:p>
    <w:p/>
    <w:p>
      <w:pPr>
        <w:pStyle w:val="Heading2"/>
      </w:pPr>
      <w:r>
        <w:t>Scope</w:t>
      </w:r>
    </w:p>
    <w:p>
      <w:pPr>
        <w:pStyle w:val="NormalWeb"/>
        <w:divId w:val="797209002"/>
        <w:rPr>
          <w:rFonts w:ascii="Calibri" w:hAnsi="Calibri"/>
          <w:sz w:val="23"/>
          <w:szCs w:val="23"/>
        </w:rPr>
      </w:pPr>
      <w:r>
        <w:rPr>
          <w:rFonts w:ascii="Calibri" w:hAnsi="Calibri"/>
          <w:sz w:val="23"/>
          <w:szCs w:val="23"/>
        </w:rPr>
        <w:t>the Application Security Policy applies to following.</w:t>
      </w:r>
    </w:p>
    <w:p>
      <w:pPr>
        <w:pStyle w:val="NormalWeb"/>
        <w:divId w:val="797209002"/>
        <w:rPr>
          <w:rFonts w:ascii="Calibri" w:hAnsi="Calibri"/>
          <w:sz w:val="23"/>
          <w:szCs w:val="23"/>
        </w:rPr>
      </w:pPr>
      <w:r>
        <w:rPr>
          <w:rFonts w:ascii="Calibri" w:hAnsi="Calibri"/>
          <w:sz w:val="23"/>
          <w:szCs w:val="23"/>
        </w:rPr>
        <w:t>Software Applications</w:t>
      </w:r>
    </w:p>
    <w:p>
      <w:pPr>
        <w:divId w:val="797209002"/>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in-house applications built by Clone and running in LIVE / Production environment</w:t>
      </w:r>
    </w:p>
    <w:p>
      <w:pPr>
        <w:divId w:val="797209002"/>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third-party software applications which store sensitive customer or organizational data </w:t>
      </w:r>
    </w:p>
    <w:p/>
    <w:p>
      <w:pPr>
        <w:pStyle w:val="Heading2"/>
      </w:pPr>
      <w:r>
        <w:t>Background</w:t>
      </w:r>
    </w:p>
    <w:p>
      <w:pPr>
        <w:pStyle w:val="NormalWeb"/>
        <w:divId w:val="744231448"/>
        <w:rPr>
          <w:rFonts w:ascii="Calibri" w:hAnsi="Calibri"/>
          <w:sz w:val="23"/>
          <w:szCs w:val="23"/>
        </w:rPr>
      </w:pPr>
      <w:r>
        <w:rPr>
          <w:rFonts w:ascii="Calibri" w:hAnsi="Calibri"/>
          <w:sz w:val="23"/>
          <w:szCs w:val="23"/>
        </w:rPr>
        <w:t>Software Application vulnerabilities, especially web applications are the largest source of threats and data breaches for any organization. In Clone it is important that applications are designed with security in mind, and that they are scanned and continuously monitored for malicious activity that could lead to larger security or a data breach incident. The policy is intended to facilitate the discovery and mitigation of application vulnerabilities in order to limit the company's attack surface. This policy defines technical requirements and procedures to ensure that applications are properly hardened in accordance with the practices and procedures defined by Clone's information security team.</w:t>
      </w:r>
    </w:p>
    <w:p/>
    <w:p>
      <w:pPr>
        <w:pStyle w:val="Heading2"/>
      </w:pPr>
      <w:r>
        <w:t>Policy</w:t>
      </w:r>
    </w:p>
    <w:p>
      <w:pPr>
        <w:pStyle w:val="Heading4"/>
        <w:divId w:val="1800889211"/>
        <w:rPr>
          <w:rFonts w:ascii="Calibri" w:eastAsia="Times New Roman" w:hAnsi="Calibri"/>
        </w:rPr>
      </w:pPr>
      <w:r>
        <w:rPr>
          <w:rFonts w:ascii="Calibri" w:eastAsia="Times New Roman" w:hAnsi="Calibri"/>
        </w:rPr>
        <w:t>Secure application</w:t>
      </w:r>
    </w:p>
    <w:p>
      <w:pPr>
        <w:divId w:val="180088921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applications must require a secure login process per access management policy and password policy.</w:t>
      </w:r>
    </w:p>
    <w:p>
      <w:pPr>
        <w:divId w:val="180088921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Web applications must adhere to OWASP Top 10 to address the common security issues.</w:t>
      </w:r>
    </w:p>
    <w:p>
      <w:pPr>
        <w:divId w:val="180088921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applications which store sensitive data must perform a quarterly vulnerability scan.</w:t>
      </w:r>
    </w:p>
    <w:p>
      <w:pPr>
        <w:divId w:val="180088921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Application development must strictly adhere to the Application Development Lifecycle (aka, SDLC) policy.</w:t>
      </w:r>
    </w:p>
    <w:p>
      <w:pPr>
        <w:divId w:val="180088921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Changes to the application must be per the Change Management Policy document.</w:t>
      </w:r>
    </w:p>
    <w:p>
      <w:pPr>
        <w:divId w:val="180088921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The information security team must conduct a formal security risk assessment for all new applications.</w:t>
      </w:r>
    </w:p>
    <w:p>
      <w:pPr>
        <w:divId w:val="180088921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Conduct a security risk assessment following all significant changes</w:t>
      </w:r>
    </w:p>
    <w:p>
      <w:pPr>
        <w:divId w:val="180088921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 periodic security risk assessment must be performed for legacy or other applications to assess against the latest threats and vulnerabilities.</w:t>
      </w:r>
    </w:p>
    <w:p>
      <w:pPr>
        <w:divId w:val="180088921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applications must adhere to Log Management Policy for storing and disposing of application logs.</w:t>
      </w:r>
    </w:p>
    <w:p>
      <w:pPr>
        <w:divId w:val="180088921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applications must follow security best practices for managing configuration and documenting the secure configurations for the application.</w:t>
      </w:r>
    </w:p>
    <w:p>
      <w:pPr>
        <w:pStyle w:val="Heading4"/>
        <w:divId w:val="1800889211"/>
        <w:rPr>
          <w:rFonts w:ascii="Calibri" w:eastAsia="Times New Roman" w:hAnsi="Calibri"/>
        </w:rPr>
      </w:pPr>
      <w:r>
        <w:rPr>
          <w:rFonts w:ascii="Calibri" w:eastAsia="Times New Roman" w:hAnsi="Calibri"/>
        </w:rPr>
        <w:t>Data Handling</w:t>
      </w:r>
    </w:p>
    <w:p>
      <w:pPr>
        <w:divId w:val="1800889211"/>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Data handled and managed by the application must be classified in accordance with the Data Classification Policy.</w:t>
      </w:r>
    </w:p>
    <w:p>
      <w:pPr>
        <w:divId w:val="1800889211"/>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If the application processes confidential information, a confidential record banner must be prominently displayed, which highlights the type of confidential data being accessed (e.g., personally identifiable information (PII), protected health information (PHI))</w:t>
      </w:r>
    </w:p>
    <w:p>
      <w:pPr>
        <w:divId w:val="1800889211"/>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Sensitive data, especially data specifically restricted by law or policy (e.g., social security numbers, passwords, and credit card data) should not be displayed in plaintext.</w:t>
      </w:r>
    </w:p>
    <w:p>
      <w:pPr>
        <w:pStyle w:val="Heading4"/>
        <w:divId w:val="1800889211"/>
        <w:rPr>
          <w:rFonts w:ascii="Calibri" w:eastAsia="Times New Roman" w:hAnsi="Calibri"/>
        </w:rPr>
      </w:pPr>
      <w:r>
        <w:rPr>
          <w:rFonts w:ascii="Calibri" w:eastAsia="Times New Roman" w:hAnsi="Calibri"/>
        </w:rPr>
        <w:t>Secure Processes for Application Development Lifecycle</w:t>
      </w:r>
    </w:p>
    <w:p>
      <w:pPr>
        <w:divId w:val="1800889211"/>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application development must be per the Software Development Lifecycle document</w:t>
      </w:r>
    </w:p>
    <w:p>
      <w:pPr>
        <w:divId w:val="1800889211"/>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changes to the application must be per the Change Management policy</w:t>
      </w:r>
    </w:p>
    <w:p>
      <w:pPr>
        <w:pStyle w:val="Heading4"/>
        <w:divId w:val="1800889211"/>
        <w:rPr>
          <w:rFonts w:ascii="Calibri" w:eastAsia="Times New Roman" w:hAnsi="Calibri"/>
        </w:rPr>
      </w:pPr>
      <w:r>
        <w:rPr>
          <w:rFonts w:ascii="Calibri" w:eastAsia="Times New Roman" w:hAnsi="Calibri"/>
        </w:rPr>
        <w:t>Third-Party Software</w:t>
      </w:r>
    </w:p>
    <w:p>
      <w:pPr>
        <w:divId w:val="1800889211"/>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Updates, patches, and configuration changes issued by the vendor shall be implemented as soon as possible.</w:t>
      </w:r>
    </w:p>
    <w:p>
      <w:pPr>
        <w:divId w:val="1800889211"/>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Security reports &amp; policy assessments of 3rd party software must be performed annually.</w:t>
      </w:r>
    </w:p>
    <w:p>
      <w:pPr>
        <w:divId w:val="1800889211"/>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Application provided by 3rd party vendors must be procured in accordance with vendor management policy.</w:t>
      </w:r>
    </w:p>
    <w:p>
      <w:pPr>
        <w:divId w:val="1800889211"/>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No custom modifications may be applied to the application without confirmation that the vendor can continue to provide support.</w:t>
      </w:r>
    </w:p>
    <w:p/>
    <w:p>
      <w:pPr>
        <w:pStyle w:val="Heading2"/>
      </w:pPr>
      <w:r>
        <w:t>Enforcement</w:t>
      </w:r>
    </w:p>
    <w:p>
      <w:pPr>
        <w:pStyle w:val="NormalWeb"/>
        <w:divId w:val="684373105"/>
        <w:rPr>
          <w:rFonts w:ascii="Calibri" w:hAnsi="Calibri"/>
          <w:sz w:val="23"/>
          <w:szCs w:val="23"/>
        </w:rPr>
      </w:pPr>
      <w:r>
        <w:rPr>
          <w:rFonts w:ascii="Calibri" w:hAnsi="Calibri"/>
          <w:sz w:val="23"/>
          <w:szCs w:val="23"/>
        </w:rPr>
        <w:t>Application security policy will be enforced by the information security team and all applications must follow it. Exceptions are allowed upon formal approval from the information security team.</w:t>
      </w:r>
    </w:p>
    <w:p/>
    <w:p/>
    <w:p w:rsidR="0058209B" w:rsidRPr="00BC5D7F" w:rsidP="00A52C45" w14:paraId="346B3C77" w14:textId="77777777"/>
    <w:sectPr w:rsidSect="001C6AF3">
      <w:headerReference w:type="even" r:id="rId8"/>
      <w:headerReference w:type="default" r:id="rId9"/>
      <w:footerReference w:type="even" r:id="rId10"/>
      <w:footerReference w:type="default" r:id="rId11"/>
      <w:headerReference w:type="first" r:id="rId12"/>
      <w:footerReference w:type="first" r:id="rId13"/>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D2EA6" w:rsidP="00E02961" w14:paraId="7087D1B7" w14:textId="77777777">
      <w:pPr>
        <w:spacing w:after="0" w:line="240" w:lineRule="auto"/>
      </w:pPr>
      <w:r>
        <w:separator/>
      </w:r>
    </w:p>
    <w:p w:rsidR="009D2EA6" w14:paraId="25854D19" w14:textId="77777777"/>
    <w:p w:rsidR="009D2EA6" w14:paraId="05EB760D" w14:textId="77777777"/>
  </w:endnote>
  <w:endnote w:type="continuationSeparator" w:id="1">
    <w:p w:rsidR="009D2EA6" w:rsidP="00E02961" w14:paraId="23477BD9" w14:textId="77777777">
      <w:pPr>
        <w:spacing w:after="0" w:line="240" w:lineRule="auto"/>
      </w:pPr>
      <w:r>
        <w:continuationSeparator/>
      </w:r>
    </w:p>
    <w:p w:rsidR="009D2EA6" w14:paraId="0866E9C9" w14:textId="77777777"/>
    <w:p w:rsidR="009D2EA6" w14:paraId="6F236F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5D108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B598E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376F" w:rsidP="008B376F" w14:paraId="5CF557C2" w14:textId="7AD27C7A">
    <w:pPr>
      <w:pStyle w:val="Footer"/>
      <w:tabs>
        <w:tab w:val="left" w:pos="3900"/>
        <w:tab w:val="clear" w:pos="4680"/>
        <w:tab w:val="clear" w:pos="93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D2EA6" w:rsidP="00E02961" w14:paraId="4F704A10" w14:textId="77777777">
      <w:pPr>
        <w:spacing w:after="0" w:line="240" w:lineRule="auto"/>
      </w:pPr>
      <w:r>
        <w:separator/>
      </w:r>
    </w:p>
    <w:p w:rsidR="009D2EA6" w14:paraId="21D61943" w14:textId="77777777"/>
    <w:p w:rsidR="009D2EA6" w14:paraId="2D93E3D3" w14:textId="77777777"/>
  </w:footnote>
  <w:footnote w:type="continuationSeparator" w:id="1">
    <w:p w:rsidR="009D2EA6" w:rsidP="00E02961" w14:paraId="68E84526" w14:textId="77777777">
      <w:pPr>
        <w:spacing w:after="0" w:line="240" w:lineRule="auto"/>
      </w:pPr>
      <w:r>
        <w:continuationSeparator/>
      </w:r>
    </w:p>
    <w:p w:rsidR="009D2EA6" w14:paraId="31B1BFB6" w14:textId="77777777"/>
    <w:p w:rsidR="009D2EA6" w14:paraId="0B147B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150147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7B2B477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480CC6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BC359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EED2741"/>
    <w:multiLevelType w:val="hybridMultilevel"/>
    <w:tmpl w:val="766ED34C"/>
    <w:lvl w:ilvl="0">
      <w:start w:val="17"/>
      <w:numFmt w:val="bullet"/>
      <w:lvlText w:val=""/>
      <w:lvlJc w:val="left"/>
      <w:pPr>
        <w:ind w:left="720" w:hanging="360"/>
      </w:pPr>
      <w:rPr>
        <w:rFonts w:ascii="Wingdings" w:hAnsi="Wingdings"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attachedTemplate r:id="rId1"/>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684373105">
      <w:bodyDiv w:val="1"/>
      <w:marLeft w:val="0"/>
      <w:marRight w:val="0"/>
      <w:marTop w:val="0"/>
      <w:marBottom w:val="0"/>
      <w:divBdr>
        <w:top w:val="none" w:sz="0" w:space="0" w:color="auto"/>
        <w:left w:val="none" w:sz="0" w:space="0" w:color="auto"/>
        <w:bottom w:val="none" w:sz="0" w:space="0" w:color="auto"/>
        <w:right w:val="none" w:sz="0" w:space="0" w:color="auto"/>
      </w:divBdr>
    </w:div>
    <w:div w:id="744231448">
      <w:bodyDiv w:val="1"/>
      <w:marLeft w:val="0"/>
      <w:marRight w:val="0"/>
      <w:marTop w:val="0"/>
      <w:marBottom w:val="0"/>
      <w:divBdr>
        <w:top w:val="none" w:sz="0" w:space="0" w:color="auto"/>
        <w:left w:val="none" w:sz="0" w:space="0" w:color="auto"/>
        <w:bottom w:val="none" w:sz="0" w:space="0" w:color="auto"/>
        <w:right w:val="none" w:sz="0" w:space="0" w:color="auto"/>
      </w:divBdr>
    </w:div>
    <w:div w:id="797209002">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521144810">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1800889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_rels/settings.xml.rels><?xml version="1.0" encoding="utf-8" standalone="yes"?><Relationships xmlns="http://schemas.openxmlformats.org/package/2006/relationships"><Relationship Id="rId1" Type="http://schemas.openxmlformats.org/officeDocument/2006/relationships/attachedTemplate" Target="file:///D:/new_project/cm-services/cm-api/src/main/resources/templates/audit-soc2-report.dotx" TargetMode="External" /></Relationships>
</file>

<file path=word/theme/_rels/theme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audit-soc2-report.dotx</Template>
  <TotalTime>91</TotalTime>
  <Pages>1</Pages>
  <Words>15</Words>
  <Characters>164</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Kumar</cp:lastModifiedBy>
  <cp:revision>73</cp:revision>
  <dcterms:created xsi:type="dcterms:W3CDTF">2020-01-14T13:16:00Z</dcterms:created>
  <dcterms:modified xsi:type="dcterms:W3CDTF">2024-05-28T14:02:00Z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ies>
</file>