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729786682" name="Drawing 0" descr="title_logo"/>
            <wp:cNvGraphicFramePr/>
            <a:graphic xmlns:a="http://schemas.openxmlformats.org/drawingml/2006/main">
              <a:graphicData uri="http://schemas.openxmlformats.org/drawingml/2006/picture">
                <pic:pic xmlns:pic="http://schemas.openxmlformats.org/drawingml/2006/picture">
                  <pic:nvPicPr>
                    <pic:cNvPr id="729786682"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Data Retention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912789921"/>
        <w:rPr>
          <w:rFonts w:ascii="Calibri" w:hAnsi="Calibri"/>
          <w:sz w:val="23"/>
          <w:szCs w:val="23"/>
        </w:rPr>
      </w:pPr>
      <w:r>
        <w:rPr>
          <w:rFonts w:ascii="Calibri" w:hAnsi="Calibri"/>
          <w:sz w:val="23"/>
          <w:szCs w:val="23"/>
        </w:rPr>
        <w:t>This data retention policy defines the objectives and requirements for data retention within the organization. This Policy covers all information and data/information in the Company's possession, custody, or control, including data/information in electronic, paper, or other forms, and including both original documents and reproductions. This Policy is not restricted to the information contained in paper documents but includes data/information contained in an electronically readable format. For the purposes of convenience, in this Policy, any medium which holds information and/or data is called a Record.</w:t>
      </w:r>
    </w:p>
    <w:p/>
    <w:p>
      <w:pPr>
        <w:pStyle w:val="Heading2"/>
      </w:pPr>
      <w:r>
        <w:t>Scope</w:t>
      </w:r>
    </w:p>
    <w:p>
      <w:pPr>
        <w:pStyle w:val="NormalWeb"/>
        <w:divId w:val="303568330"/>
        <w:rPr>
          <w:rFonts w:ascii="Calibri" w:hAnsi="Calibri"/>
          <w:sz w:val="23"/>
          <w:szCs w:val="23"/>
        </w:rPr>
      </w:pPr>
      <w:r>
        <w:rPr>
          <w:rFonts w:ascii="Calibri" w:hAnsi="Calibri"/>
          <w:sz w:val="23"/>
          <w:szCs w:val="23"/>
        </w:rPr>
        <w:t>The data retention policy applies to following</w:t>
      </w:r>
    </w:p>
    <w:p>
      <w:pPr>
        <w:pStyle w:val="NormalWeb"/>
        <w:divId w:val="303568330"/>
        <w:rPr>
          <w:rFonts w:ascii="Calibri" w:hAnsi="Calibri"/>
          <w:sz w:val="23"/>
          <w:szCs w:val="23"/>
        </w:rPr>
      </w:pPr>
      <w:r>
        <w:rPr>
          <w:rFonts w:ascii="Calibri" w:hAnsi="Calibri"/>
          <w:sz w:val="23"/>
          <w:szCs w:val="23"/>
        </w:rPr>
        <w:t>Personnel</w:t>
      </w:r>
    </w:p>
    <w:p>
      <w:pPr>
        <w:divId w:val="30356833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 of Clone</w:t>
      </w:r>
    </w:p>
    <w:p>
      <w:pPr>
        <w:divId w:val="30356833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Contractors of Clone</w:t>
      </w:r>
    </w:p>
    <w:p>
      <w:pPr>
        <w:divId w:val="303568330"/>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vendors / third-party / visitors who temporarily access  Clone's </w:t>
      </w:r>
    </w:p>
    <w:p>
      <w:pPr>
        <w:pStyle w:val="NormalWeb"/>
        <w:divId w:val="303568330"/>
        <w:rPr>
          <w:rFonts w:ascii="Calibri" w:hAnsi="Calibri"/>
          <w:sz w:val="23"/>
          <w:szCs w:val="23"/>
        </w:rPr>
      </w:pPr>
      <w:r>
        <w:rPr>
          <w:rFonts w:ascii="Calibri" w:hAnsi="Calibri"/>
          <w:sz w:val="23"/>
          <w:szCs w:val="23"/>
        </w:rPr>
        <w:t>Information Systems of Clone</w:t>
      </w:r>
    </w:p>
    <w:p>
      <w:pPr>
        <w:divId w:val="3035683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Information Systems</w:t>
      </w:r>
    </w:p>
    <w:p>
      <w:pPr>
        <w:divId w:val="30356833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Information</w:t>
      </w:r>
    </w:p>
    <w:p/>
    <w:p>
      <w:pPr>
        <w:pStyle w:val="Heading2"/>
      </w:pPr>
      <w:r>
        <w:t>Background</w:t>
      </w:r>
    </w:p>
    <w:p>
      <w:pPr>
        <w:pStyle w:val="NormalWeb"/>
        <w:divId w:val="304573006"/>
        <w:rPr>
          <w:rFonts w:ascii="Calibri" w:hAnsi="Calibri"/>
          <w:sz w:val="23"/>
          <w:szCs w:val="23"/>
        </w:rPr>
      </w:pPr>
      <w:r>
        <w:rPr>
          <w:rFonts w:ascii="Calibri" w:hAnsi="Calibri"/>
          <w:sz w:val="23"/>
          <w:szCs w:val="23"/>
        </w:rPr>
        <w:t>The Company is bound by various obligations with regard to the data/information that we retain or that is in our custody or under our control. These obligations include how long we may retain data/information and when and how we can destroy it. The obligations may arise from local laws or regulations or from contracts and promises that we have made to our employees, customers, regulators, goods and service providers, and partners. As a result, Records may need to be archived and stored for longer than the data/information that may be needed for day-to-day operations and business processes. Broadly, when the Record Retention Period has ended and we no longer need the Record, we must ensure that the Record is destroyed in an appropriate proper manner.</w:t>
      </w:r>
    </w:p>
    <w:p>
      <w:pPr>
        <w:pStyle w:val="NormalWeb"/>
        <w:divId w:val="304573006"/>
        <w:rPr>
          <w:rFonts w:ascii="Calibri" w:hAnsi="Calibri"/>
          <w:sz w:val="23"/>
          <w:szCs w:val="23"/>
        </w:rPr>
      </w:pPr>
      <w:r>
        <w:rPr>
          <w:rFonts w:ascii="Calibri" w:hAnsi="Calibri"/>
          <w:sz w:val="23"/>
          <w:szCs w:val="23"/>
        </w:rPr>
        <w:t>Further, the Company may be involved in unpredicted events such as litigation or disaster recoveries that require us to have access to the original Records in order to protect the Company's interests or those of our employees, customers, goods, and service providers, and our partners. There may be legal, regulatory, contractual, or policy requirements that may extend the duration for which information must be retained beyond its useful life. Before disposing of any Records, please review this Policy. In addition, do not destroy Records if you have received a "hold notice" from the Company's Legal department concerning actual or threatened litigation or investigation or if you have reason to believe that documents relate to a dispute that may result in litigation or investigation. If you have any questions, please contact the Legal department before you destroy any Records.</w:t>
      </w:r>
    </w:p>
    <w:p/>
    <w:p>
      <w:pPr>
        <w:pStyle w:val="Heading2"/>
      </w:pPr>
      <w:r>
        <w:t>Policy</w:t>
      </w:r>
    </w:p>
    <w:p>
      <w:pPr>
        <w:pStyle w:val="NormalWeb"/>
        <w:divId w:val="126281119"/>
        <w:rPr>
          <w:rFonts w:ascii="Calibri" w:hAnsi="Calibri"/>
          <w:sz w:val="23"/>
          <w:szCs w:val="23"/>
        </w:rPr>
      </w:pPr>
      <w:r>
        <w:rPr>
          <w:rStyle w:val="Strong"/>
          <w:rFonts w:ascii="Calibri" w:hAnsi="Calibri"/>
          <w:i/>
          <w:iCs/>
          <w:sz w:val="23"/>
          <w:szCs w:val="23"/>
        </w:rPr>
        <w:t>** If this Policy applies to you, please consult your legal department for retention records and retention schedules </w:t>
      </w:r>
    </w:p>
    <w:p>
      <w:pPr>
        <w:pStyle w:val="Heading4"/>
        <w:divId w:val="126281119"/>
        <w:rPr>
          <w:rFonts w:ascii="Calibri" w:eastAsia="Times New Roman" w:hAnsi="Calibri"/>
        </w:rPr>
      </w:pPr>
      <w:r>
        <w:rPr>
          <w:rFonts w:ascii="Calibri" w:eastAsia="Times New Roman" w:hAnsi="Calibri"/>
        </w:rPr>
        <w:t>What to retain</w:t>
      </w:r>
    </w:p>
    <w:p>
      <w:pPr>
        <w:pStyle w:val="NormalWeb"/>
        <w:divId w:val="126281119"/>
        <w:rPr>
          <w:rFonts w:ascii="Calibri" w:hAnsi="Calibri"/>
          <w:sz w:val="23"/>
          <w:szCs w:val="23"/>
        </w:rPr>
      </w:pPr>
      <w:r>
        <w:rPr>
          <w:rFonts w:ascii="Calibri" w:hAnsi="Calibri"/>
          <w:sz w:val="23"/>
          <w:szCs w:val="23"/>
        </w:rPr>
        <w:t>Application &amp; Services data</w:t>
      </w:r>
    </w:p>
    <w:p>
      <w:pPr>
        <w:divId w:val="126281119"/>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Customer, application &amp; transactional data generated by products and services</w:t>
      </w:r>
    </w:p>
    <w:p>
      <w:pPr>
        <w:divId w:val="126281119"/>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Audit log data generated by products and services</w:t>
      </w:r>
    </w:p>
    <w:p>
      <w:pPr>
        <w:divId w:val="126281119"/>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Data created in 3rd party applications and services</w:t>
      </w:r>
    </w:p>
    <w:p>
      <w:pPr>
        <w:pStyle w:val="NormalWeb"/>
        <w:divId w:val="126281119"/>
        <w:rPr>
          <w:rFonts w:ascii="Calibri" w:hAnsi="Calibri"/>
          <w:sz w:val="23"/>
          <w:szCs w:val="23"/>
        </w:rPr>
      </w:pPr>
      <w:r>
        <w:rPr>
          <w:rFonts w:ascii="Calibri" w:hAnsi="Calibri"/>
          <w:sz w:val="23"/>
          <w:szCs w:val="23"/>
        </w:rPr>
        <w:t>Other data to retain</w:t>
      </w:r>
    </w:p>
    <w:p>
      <w:pPr>
        <w:divId w:val="126281119"/>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Corporate / Company data (Articles of incorporation etc)</w:t>
      </w:r>
    </w:p>
    <w:p>
      <w:pPr>
        <w:divId w:val="126281119"/>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Electronic Mail</w:t>
      </w:r>
    </w:p>
    <w:p>
      <w:pPr>
        <w:divId w:val="126281119"/>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Physical correspondence</w:t>
      </w:r>
    </w:p>
    <w:p>
      <w:pPr>
        <w:divId w:val="126281119"/>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Customer contracts etc</w:t>
      </w:r>
    </w:p>
    <w:p>
      <w:pPr>
        <w:divId w:val="126281119"/>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Financial records / receipts / invoices etc</w:t>
      </w:r>
    </w:p>
    <w:p>
      <w:pPr>
        <w:divId w:val="126281119"/>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Website / CRM data</w:t>
      </w:r>
    </w:p>
    <w:p>
      <w:pPr>
        <w:divId w:val="126281119"/>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Call recordings</w:t>
      </w:r>
    </w:p>
    <w:p>
      <w:pPr>
        <w:pStyle w:val="Heading4"/>
        <w:divId w:val="126281119"/>
        <w:rPr>
          <w:rFonts w:ascii="Calibri" w:eastAsia="Times New Roman" w:hAnsi="Calibri"/>
        </w:rPr>
      </w:pPr>
      <w:r>
        <w:rPr>
          <w:rFonts w:ascii="Calibri" w:eastAsia="Times New Roman" w:hAnsi="Calibri"/>
        </w:rPr>
        <w:t>Retention schedule </w:t>
      </w:r>
    </w:p>
    <w:p>
      <w:pPr>
        <w:pStyle w:val="NormalWeb"/>
        <w:divId w:val="126281119"/>
        <w:rPr>
          <w:rFonts w:ascii="Calibri" w:hAnsi="Calibri"/>
          <w:sz w:val="23"/>
          <w:szCs w:val="23"/>
        </w:rPr>
      </w:pPr>
      <w:r>
        <w:rPr>
          <w:rFonts w:ascii="Calibri" w:hAnsi="Calibri"/>
          <w:sz w:val="23"/>
          <w:szCs w:val="23"/>
        </w:rPr>
        <w:t>A Record shall be considered active so long as Record is in use by a business unit or division("Function") or referenced in an external document. </w:t>
      </w:r>
    </w:p>
    <w:p>
      <w:pPr>
        <w:pStyle w:val="NormalWeb"/>
        <w:divId w:val="126281119"/>
        <w:rPr>
          <w:rFonts w:ascii="Calibri" w:hAnsi="Calibri"/>
          <w:sz w:val="23"/>
          <w:szCs w:val="23"/>
        </w:rPr>
      </w:pPr>
      <w:r>
        <w:rPr>
          <w:rFonts w:ascii="Calibri" w:hAnsi="Calibri"/>
          <w:sz w:val="23"/>
          <w:szCs w:val="23"/>
        </w:rPr>
        <w:t>Customer data shall be retained for the duration set in the contracts and SLAs. For example, application data</w:t>
      </w:r>
    </w:p>
    <w:p>
      <w:pPr>
        <w:divId w:val="126281119"/>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Will be maintained during the full duration of the relationship</w:t>
      </w:r>
    </w:p>
    <w:p>
      <w:pPr>
        <w:divId w:val="126281119"/>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Will be maintained till 45 days after the duration of the relationship</w:t>
      </w:r>
    </w:p>
    <w:p>
      <w:pPr>
        <w:divId w:val="126281119"/>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Will be maintained during the duration of the trial</w:t>
      </w:r>
    </w:p>
    <w:p>
      <w:pPr>
        <w:divId w:val="126281119"/>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Will be deleted between 7- 14 days after the trial or the relationship ends</w:t>
      </w:r>
    </w:p>
    <w:p>
      <w:pPr>
        <w:pStyle w:val="Heading4"/>
        <w:divId w:val="126281119"/>
        <w:rPr>
          <w:rFonts w:ascii="Calibri" w:eastAsia="Times New Roman" w:hAnsi="Calibri"/>
        </w:rPr>
      </w:pPr>
      <w:r>
        <w:rPr>
          <w:rFonts w:ascii="Calibri" w:eastAsia="Times New Roman" w:hAnsi="Calibri"/>
        </w:rPr>
        <w:t>Retention in 3rd party application </w:t>
      </w:r>
    </w:p>
    <w:p>
      <w:pPr>
        <w:pStyle w:val="NormalWeb"/>
        <w:divId w:val="126281119"/>
        <w:rPr>
          <w:rFonts w:ascii="Calibri" w:hAnsi="Calibri"/>
          <w:sz w:val="23"/>
          <w:szCs w:val="23"/>
        </w:rPr>
      </w:pPr>
      <w:r>
        <w:rPr>
          <w:rFonts w:ascii="Calibri" w:hAnsi="Calibri"/>
          <w:sz w:val="23"/>
          <w:szCs w:val="23"/>
        </w:rPr>
        <w:t>All data created in different 3rd party systems must be retained for the duration of the relationship with those 3rd party applications. </w:t>
      </w:r>
    </w:p>
    <w:p>
      <w:pPr>
        <w:pStyle w:val="NormalWeb"/>
        <w:divId w:val="126281119"/>
        <w:rPr>
          <w:rFonts w:ascii="Calibri" w:hAnsi="Calibri"/>
          <w:sz w:val="23"/>
          <w:szCs w:val="23"/>
        </w:rPr>
      </w:pPr>
      <w:r>
        <w:rPr>
          <w:rFonts w:ascii="Calibri" w:hAnsi="Calibri"/>
          <w:sz w:val="23"/>
          <w:szCs w:val="23"/>
        </w:rPr>
        <w:t>After termination of the relationship, </w:t>
      </w:r>
    </w:p>
    <w:p>
      <w:pPr>
        <w:divId w:val="126281119"/>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If a new system is being established, then migrate the data from the current third-party system to the new system.</w:t>
      </w:r>
    </w:p>
    <w:p>
      <w:pPr>
        <w:divId w:val="126281119"/>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If no system replaces the existing system, then the export of the data must be taken and maintained in an accessible format as per the data retention guidelines for the type of data</w:t>
      </w:r>
    </w:p>
    <w:p>
      <w:pPr>
        <w:pStyle w:val="Heading4"/>
        <w:divId w:val="126281119"/>
        <w:rPr>
          <w:rFonts w:ascii="Calibri" w:eastAsia="Times New Roman" w:hAnsi="Calibri"/>
        </w:rPr>
      </w:pPr>
      <w:r>
        <w:rPr>
          <w:rFonts w:ascii="Calibri" w:eastAsia="Times New Roman" w:hAnsi="Calibri"/>
        </w:rPr>
        <w:t>Destruction and disposition </w:t>
      </w:r>
    </w:p>
    <w:p>
      <w:pPr>
        <w:divId w:val="126281119"/>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Each employee shall be responsible for returning Records in their possession, custody, or control to the Company upon separation or retirement.</w:t>
      </w:r>
    </w:p>
    <w:p>
      <w:pPr>
        <w:divId w:val="126281119"/>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final disposition of such Records shall be determined by their immediate supervisor in accordance with this Policy.</w:t>
      </w:r>
    </w:p>
    <w:p>
      <w:pPr>
        <w:divId w:val="126281119"/>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Each head of Function shall be responsible for enforcing the retention, archiving, and destruction of records in their respective Function and communicating these periods to the relevant employees.</w:t>
      </w:r>
    </w:p>
    <w:p>
      <w:pPr>
        <w:divId w:val="126281119"/>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Each employee shall be responsible for following and implementing the policies related to the Records they create, maintain, or access.</w:t>
      </w:r>
    </w:p>
    <w:p/>
    <w:p>
      <w:pPr>
        <w:pStyle w:val="Heading2"/>
      </w:pPr>
      <w:r>
        <w:t>Enforcement</w:t>
      </w:r>
    </w:p>
    <w:p>
      <w:pPr>
        <w:pStyle w:val="NormalWeb"/>
        <w:divId w:val="1624991248"/>
        <w:rPr>
          <w:rFonts w:ascii="Calibri" w:hAnsi="Calibri"/>
          <w:sz w:val="23"/>
          <w:szCs w:val="23"/>
        </w:rPr>
      </w:pPr>
      <w:r>
        <w:rPr>
          <w:rFonts w:ascii="Calibri" w:hAnsi="Calibri"/>
          <w:sz w:val="23"/>
          <w:szCs w:val="23"/>
        </w:rPr>
        <w:t>Each head of Function shall be responsible for enforcing the retention, archiving, and destruction of records in their respective Function, and for communicating these periods to the relevant employees. Each employee shall have the responsibility of following and implementing the policies as it relates to the Records they create, maintain or access.</w:t>
      </w:r>
    </w:p>
    <w:p>
      <w:pPr>
        <w:pStyle w:val="NormalWeb"/>
        <w:divId w:val="1624991248"/>
        <w:rPr>
          <w:rFonts w:ascii="Calibri" w:hAnsi="Calibri"/>
          <w:sz w:val="23"/>
          <w:szCs w:val="23"/>
        </w:rPr>
      </w:pPr>
      <w:r>
        <w:rPr>
          <w:rFonts w:ascii="Calibri" w:hAnsi="Calibri"/>
          <w:sz w:val="23"/>
          <w:szCs w:val="23"/>
        </w:rPr>
        <w:t> </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281119">
      <w:bodyDiv w:val="1"/>
      <w:marLeft w:val="0"/>
      <w:marRight w:val="0"/>
      <w:marTop w:val="0"/>
      <w:marBottom w:val="0"/>
      <w:divBdr>
        <w:top w:val="none" w:sz="0" w:space="0" w:color="auto"/>
        <w:left w:val="none" w:sz="0" w:space="0" w:color="auto"/>
        <w:bottom w:val="none" w:sz="0" w:space="0" w:color="auto"/>
        <w:right w:val="none" w:sz="0" w:space="0" w:color="auto"/>
      </w:divBdr>
    </w:div>
    <w:div w:id="303568330">
      <w:bodyDiv w:val="1"/>
      <w:marLeft w:val="0"/>
      <w:marRight w:val="0"/>
      <w:marTop w:val="0"/>
      <w:marBottom w:val="0"/>
      <w:divBdr>
        <w:top w:val="none" w:sz="0" w:space="0" w:color="auto"/>
        <w:left w:val="none" w:sz="0" w:space="0" w:color="auto"/>
        <w:bottom w:val="none" w:sz="0" w:space="0" w:color="auto"/>
        <w:right w:val="none" w:sz="0" w:space="0" w:color="auto"/>
      </w:divBdr>
    </w:div>
    <w:div w:id="304573006">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6249912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912789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