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ackground w:color="ffffff">
    <v:background id="_x0000_s1025" w:themeColor="background1" filled="t"/>
  </w:background>
  <w:body>
    <w:p>
      <w:pPr>
        <w:jc w:val="center"/>
      </w:pPr>
      <w:r>
        <w:br/>
      </w:r>
      <w:r>
        <w:drawing>
          <wp:inline distT="0" distB="0" distL="0" distR="0">
            <wp:extent cx="3657600" cy="3620150"/>
            <wp:docPr id="2051412403" name="Drawing 0" descr="title_logo"/>
            <wp:cNvGraphicFramePr/>
            <a:graphic xmlns:a="http://schemas.openxmlformats.org/drawingml/2006/main">
              <a:graphicData uri="http://schemas.openxmlformats.org/drawingml/2006/picture">
                <pic:pic xmlns:pic="http://schemas.openxmlformats.org/drawingml/2006/picture">
                  <pic:nvPicPr>
                    <pic:cNvPr id="2051412403" name="Picture 0" descr="title_logo"/>
                    <pic:cNvPicPr>
                      <a:picLocks noChangeAspect="1"/>
                    </pic:cNvPicPr>
                  </pic:nvPicPr>
                  <pic:blipFill>
                    <a:blip xmlns:r="http://schemas.openxmlformats.org/officeDocument/2006/relationships" r:embed="rId7"/>
                    <a:stretch>
                      <a:fillRect/>
                    </a:stretch>
                  </pic:blipFill>
                  <pic:spPr>
                    <a:xfrm>
                      <a:off x="0" y="0"/>
                      <a:ext cx="3657600" cy="3620150"/>
                    </a:xfrm>
                    <a:prstGeom prst="rect">
                      <a:avLst/>
                    </a:prstGeom>
                  </pic:spPr>
                </pic:pic>
              </a:graphicData>
            </a:graphic>
          </wp:inline>
        </w:drawing>
      </w:r>
    </w:p>
    <w:p>
      <w:r>
        <w:br w:type="page"/>
      </w:r>
    </w:p>
    <w:p/>
    <w:p w:rsidR="00233190" w14:paraId="4449FFAE" w14:textId="77777777">
      <w:r>
        <w:rPr>
          <w:noProof/>
        </w:rPr>
        <w:pict>
          <v:group id="Group 114" o:spid="_x0000_s1026" style="width:17.26pt;height:765.38pt;margin-top:21.75pt;margin-left:33.1pt;mso-height-percent:909;mso-position-horizontal-relative:page;mso-position-vertical-relative:page;mso-width-percent:29;position:absolute;z-index:251658240" coordsize="2286,91440">
            <v:rect id="Rectangle 115" o:spid="_x0000_s1027" style="width:2286;height:87820;position:absolute;visibility:visible;v-text-anchor:middle" filled="f" stroked="f" strokeweight="1.5pt">
              <v:stroke endcap="round"/>
            </v:rect>
            <v:rect id="Rectangle 116" o:spid="_x0000_s1028" style="width:2286;height:2286;position:absolute;top:89154;visibility:visible;v-text-anchor:middle" filled="f" stroked="f" strokeweight="1.5pt">
              <v:stroke endcap="round"/>
              <o:lock v:ext="edit" aspectratio="t"/>
            </v:rect>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
      <w:tblGrid>
        <w:gridCol w:w="3600"/>
        <w:gridCol w:w="4860"/>
      </w:tblGrid>
      <w:tr w14:paraId="41919F51" w14:textId="77777777" w:rsidTr="003F04E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Ex>
        <w:trPr>
          <w:gridAfter w:val="1"/>
          <w:wAfter w:w="4860" w:type="dxa"/>
        </w:trPr>
        <w:tc>
          <w:tcPr>
            <w:tcW w:w="3600" w:type="dxa"/>
          </w:tcPr>
          <w:p w:rsidR="006E64F3" w:rsidRPr="0003272A" w:rsidP="00F23DC4" w14:paraId="65E29C43" w14:textId="77777777">
            <w:pPr>
              <w:spacing w:line="360" w:lineRule="auto"/>
              <w:rPr>
                <w:rStyle w:val="BookTitle"/>
                <w:b/>
                <w:bCs/>
              </w:rPr>
            </w:pPr>
          </w:p>
        </w:tc>
      </w:tr>
      <w:tr w14:paraId="60D776CA" w14:textId="77777777" w:rsidTr="003F04EF">
        <w:tblPrEx>
          <w:tblW w:w="0" w:type="auto"/>
          <w:tblLook w:val="0680"/>
        </w:tblPrEx>
        <w:tc>
          <w:tcPr>
            <w:tcW w:w="3600" w:type="dxa"/>
          </w:tcPr>
          <w:p w:rsidR="00F23DC4" w:rsidRPr="0003272A" w:rsidP="008E17BD" w14:paraId="0A99AC43" w14:textId="77777777">
            <w:pPr>
              <w:rPr>
                <w:rStyle w:val="BookTitle"/>
                <w:b/>
                <w:bCs/>
                <w:color w:val="808080" w:themeColor="background1" w:themeShade="80"/>
              </w:rPr>
            </w:pPr>
            <w:r w:rsidRPr="0003272A">
              <w:rPr>
                <w:rStyle w:val="BookTitle"/>
                <w:b/>
                <w:bCs/>
                <w:color w:val="808080" w:themeColor="background1" w:themeShade="80"/>
              </w:rPr>
              <w:t xml:space="preserve">Last Update Date </w:t>
            </w:r>
          </w:p>
        </w:tc>
        <w:tc>
          <w:tcPr>
            <w:tcW w:w="4860" w:type="dxa"/>
          </w:tcPr>
          <w:p w:rsidR="00F23DC4" w:rsidP="008E17BD" w14:paraId="447244E8" w14:textId="77777777">
            <w:pPr>
              <w:rPr>
                <w:rStyle w:val="BookTitle"/>
                <w:color w:val="808080" w:themeColor="background1" w:themeShade="80"/>
              </w:rPr>
            </w:pPr>
            <w:r w:rsidRPr="0003272A">
              <w:rPr>
                <w:rStyle w:val="BookTitle"/>
                <w:color w:val="808080" w:themeColor="background1" w:themeShade="80"/>
              </w:rPr>
              <w:t>12-05-2025</w:t>
            </w:r>
          </w:p>
          <w:p w:rsidR="003F04EF" w:rsidRPr="0003272A" w:rsidP="008E17BD" w14:paraId="6ECA4574" w14:textId="77777777">
            <w:pPr>
              <w:rPr>
                <w:rStyle w:val="BookTitle"/>
                <w:color w:val="808080" w:themeColor="background1" w:themeShade="80"/>
              </w:rPr>
            </w:pPr>
          </w:p>
        </w:tc>
      </w:tr>
      <w:tr w14:paraId="44040F89" w14:textId="77777777" w:rsidTr="003F04EF">
        <w:tblPrEx>
          <w:tblW w:w="0" w:type="auto"/>
          <w:tblLook w:val="0680"/>
        </w:tblPrEx>
        <w:tc>
          <w:tcPr>
            <w:tcW w:w="3600" w:type="dxa"/>
          </w:tcPr>
          <w:p w:rsidR="00F23DC4" w:rsidRPr="0003272A" w:rsidP="008E17BD" w14:paraId="44F502C4" w14:textId="77777777">
            <w:pPr>
              <w:rPr>
                <w:rStyle w:val="BookTitle"/>
                <w:b/>
                <w:bCs/>
                <w:color w:val="808080" w:themeColor="background1" w:themeShade="80"/>
              </w:rPr>
            </w:pPr>
            <w:r w:rsidRPr="0003272A">
              <w:rPr>
                <w:rStyle w:val="BookTitle"/>
                <w:b/>
                <w:bCs/>
                <w:color w:val="808080" w:themeColor="background1" w:themeShade="80"/>
              </w:rPr>
              <w:t>Owner</w:t>
            </w:r>
          </w:p>
        </w:tc>
        <w:tc>
          <w:tcPr>
            <w:tcW w:w="4860" w:type="dxa"/>
          </w:tcPr>
          <w:p w:rsidR="00F23DC4" w:rsidP="008E17BD" w14:paraId="7C642B84" w14:textId="77777777">
            <w:pPr>
              <w:rPr>
                <w:rStyle w:val="BookTitle"/>
                <w:color w:val="808080" w:themeColor="background1" w:themeShade="80"/>
              </w:rPr>
            </w:pPr>
            <w:r w:rsidRPr="0003272A">
              <w:rPr>
                <w:rStyle w:val="BookTitle"/>
                <w:color w:val="808080" w:themeColor="background1" w:themeShade="80"/>
              </w:rPr>
              <w:t>Michael Ioannou</w:t>
            </w:r>
          </w:p>
          <w:p w:rsidR="00F82934" w:rsidRPr="0003272A" w:rsidP="008E17BD" w14:paraId="0677FBD0" w14:textId="77777777">
            <w:pPr>
              <w:rPr>
                <w:rStyle w:val="BookTitle"/>
                <w:color w:val="808080" w:themeColor="background1" w:themeShade="80"/>
              </w:rPr>
            </w:pPr>
          </w:p>
        </w:tc>
      </w:tr>
      <w:tr w14:paraId="17687FE0" w14:textId="77777777" w:rsidTr="003F04EF">
        <w:tblPrEx>
          <w:tblW w:w="0" w:type="auto"/>
          <w:tblLook w:val="0680"/>
        </w:tblPrEx>
        <w:tc>
          <w:tcPr>
            <w:tcW w:w="3600" w:type="dxa"/>
          </w:tcPr>
          <w:p w:rsidR="00F82934" w:rsidRPr="0003272A" w:rsidP="00F82934" w14:paraId="3EE4B00A" w14:textId="5C9E90C1">
            <w:pPr>
              <w:rPr>
                <w:rStyle w:val="BookTitle"/>
                <w:color w:val="808080" w:themeColor="background1" w:themeShade="80"/>
              </w:rPr>
            </w:pPr>
            <w:r>
              <w:rPr>
                <w:rStyle w:val="BookTitle"/>
                <w:b/>
                <w:bCs/>
                <w:color w:val="808080" w:themeColor="background1" w:themeShade="80"/>
              </w:rPr>
              <w:t>Status</w:t>
            </w:r>
          </w:p>
        </w:tc>
        <w:tc>
          <w:tcPr>
            <w:tcW w:w="4860" w:type="dxa"/>
          </w:tcPr>
          <w:p w:rsidR="00F82934" w:rsidRPr="0003272A" w:rsidP="00F82934" w14:paraId="66424546" w14:textId="1847A574">
            <w:pPr>
              <w:rPr>
                <w:rStyle w:val="BookTitle"/>
                <w:color w:val="808080" w:themeColor="background1" w:themeShade="80"/>
              </w:rPr>
            </w:pPr>
            <w:r w:rsidRPr="0003272A">
              <w:rPr>
                <w:rStyle w:val="BookTitle"/>
                <w:color w:val="808080" w:themeColor="background1" w:themeShade="80"/>
              </w:rPr>
              <w:t>Draft</w:t>
            </w:r>
          </w:p>
        </w:tc>
      </w:tr>
    </w:tbl>
    <w:p w:rsidR="00546F7A" w14:paraId="6AD4E4B7" w14:textId="77777777"/>
    <w:p w:rsidR="00546F7A" w14:paraId="04573A8B" w14:textId="77777777"/>
    <w:p w:rsidR="00546F7A" w14:paraId="216D95EE" w14:textId="77777777"/>
    <w:p w:rsidR="00546F7A" w14:paraId="7A7BF047" w14:textId="05558F33"/>
    <w:p w:rsidR="00F82934" w14:paraId="009AAA0D" w14:textId="77777777">
      <w:pPr>
        <w:rPr>
          <w:color w:val="595959" w:themeColor="text1" w:themeTint="A6"/>
          <w:szCs w:val="18"/>
        </w:rPr>
      </w:pPr>
    </w:p>
    <w:p w:rsidR="00F82934" w:rsidRPr="00233190" w14:paraId="19B76CD1" w14:textId="77777777">
      <w:pPr>
        <w:rPr>
          <w:color w:val="595959" w:themeColor="text1" w:themeTint="A6"/>
          <w:sz w:val="18"/>
          <w:szCs w:val="18"/>
        </w:rPr>
      </w:pPr>
    </w:p>
    <w:tbl>
      <w:tblPr>
        <w:tblStyle w:val="ListTable2-Accent21"/>
        <w:tblpPr w:leftFromText="180" w:rightFromText="180" w:vertAnchor="text" w:horzAnchor="margin" w:tblpY="72"/>
        <w:tblW w:w="0" w:type="auto"/>
        <w:tblLook w:val="0680"/>
      </w:tblPr>
      <w:tblGrid>
        <w:gridCol w:w="8610"/>
      </w:tblGrid>
      <w:tr w14:paraId="67823647" w14:textId="77777777" w:rsidTr="00D14DAC">
        <w:tblPrEx>
          <w:tblW w:w="0" w:type="auto"/>
          <w:tblLook w:val="0680"/>
        </w:tblPrEx>
        <w:trPr>
          <w:trHeight w:val="1410"/>
        </w:trPr>
        <w:tc>
          <w:tcPr>
            <w:tcW w:w="8610" w:type="dxa"/>
            <w:tcBorders>
              <w:top w:val="nil"/>
              <w:left w:val="nil"/>
              <w:bottom w:val="nil"/>
              <w:right w:val="nil"/>
            </w:tcBorders>
            <w:hideMark/>
          </w:tcPr>
          <w:p w:rsidR="00921133" w:rsidP="008E17BD" w14:paraId="7FBDDA83" w14:textId="77777777">
            <w:pPr>
              <w:pStyle w:val="Title"/>
              <w:rPr>
                <w:rStyle w:val="BookTitle"/>
                <w:b/>
                <w:bCs/>
                <w:color w:val="262626" w:themeColor="text1" w:themeTint="D9"/>
                <w:sz w:val="72"/>
                <w:szCs w:val="72"/>
              </w:rPr>
            </w:pPr>
            <w:r w:rsidRPr="001663BC">
              <w:rPr>
                <w:rStyle w:val="BookTitle"/>
                <w:color w:val="262626" w:themeColor="text1" w:themeTint="D9"/>
                <w:sz w:val="72"/>
                <w:szCs w:val="72"/>
              </w:rPr>
              <w:t>Network Management Policy</w:t>
            </w:r>
          </w:p>
          <w:p w:rsidR="00354146" w:rsidP="00354146" w14:paraId="3174C435" w14:textId="77777777">
            <w:pPr>
              <w:rPr>
                <w:b w:val="0"/>
                <w:bCs w:val="0"/>
              </w:rPr>
            </w:pPr>
          </w:p>
          <w:p w:rsidR="00354146" w:rsidP="00354146" w14:paraId="6797FF64" w14:textId="77777777">
            <w:pPr>
              <w:rPr>
                <w:b w:val="0"/>
                <w:bCs w:val="0"/>
              </w:rPr>
            </w:pPr>
          </w:p>
          <w:p w:rsidR="00FA1F45" w:rsidP="000607F3" w14:paraId="4D2D8CDF" w14:textId="77777777">
            <w:pPr>
              <w:rPr>
                <w:rStyle w:val="BookTitle"/>
                <w:sz w:val="28"/>
                <w:szCs w:val="28"/>
              </w:rPr>
            </w:pPr>
          </w:p>
        </w:tc>
      </w:tr>
    </w:tbl>
    <w:p w:rsidR="000607F3" w:rsidRPr="00857238" w:rsidP="000607F3" w14:paraId="096937E2" w14:textId="77777777">
      <w:pPr>
        <w:rPr>
          <w:rStyle w:val="BookTitle"/>
          <w:smallCaps w:val="0"/>
          <w:szCs w:val="24"/>
        </w:rPr>
      </w:pPr>
      <w:r>
        <w:rPr>
          <w:szCs w:val="24"/>
        </w:rPr>
        <w:t>No Approval History</w:t>
      </w:r>
    </w:p>
    <w:p w:rsidR="00714E12" w14:paraId="249196C5" w14:textId="77777777"/>
    <w:p w:rsidR="00714E12" w14:paraId="0051C9DA" w14:textId="77777777"/>
    <w:p/>
    <w:p w:rsidR="00CC454A" w:rsidRPr="00CC454A" w:rsidP="00714E12" w14:paraId="498E8734" w14:textId="77777777">
      <w:pPr>
        <w:rPr>
          <w:rStyle w:val="BookTitle"/>
          <w:b w:val="0"/>
          <w:bCs w:val="0"/>
          <w:smallCaps w:val="0"/>
          <w:szCs w:val="24"/>
        </w:rPr>
      </w:pPr>
    </w:p>
    <w:p>
      <w:pPr>
        <w:pStyle w:val="Heading2"/>
      </w:pPr>
      <w:r>
        <w:t>Purpose</w:t>
      </w:r>
    </w:p>
    <w:p>
      <w:pPr>
        <w:pStyle w:val="NormalWeb"/>
        <w:divId w:val="1171963954"/>
        <w:rPr>
          <w:rFonts w:ascii="Calibri" w:hAnsi="Calibri"/>
          <w:sz w:val="23"/>
          <w:szCs w:val="23"/>
        </w:rPr>
      </w:pPr>
      <w:r>
        <w:rPr>
          <w:rFonts w:ascii="Calibri" w:hAnsi="Calibri"/>
          <w:sz w:val="23"/>
          <w:szCs w:val="23"/>
        </w:rPr>
        <w:t>Purpose of this policy is to establish standards for protecting networks and firewalls in Clone.</w:t>
      </w:r>
    </w:p>
    <w:p/>
    <w:p>
      <w:pPr>
        <w:pStyle w:val="Heading2"/>
      </w:pPr>
      <w:r>
        <w:t>Scope</w:t>
      </w:r>
    </w:p>
    <w:p>
      <w:pPr>
        <w:pStyle w:val="NormalWeb"/>
        <w:divId w:val="2006086547"/>
        <w:rPr>
          <w:rFonts w:ascii="Calibri" w:hAnsi="Calibri"/>
          <w:sz w:val="23"/>
          <w:szCs w:val="23"/>
        </w:rPr>
      </w:pPr>
      <w:r>
        <w:rPr>
          <w:rFonts w:ascii="Calibri" w:hAnsi="Calibri"/>
          <w:sz w:val="23"/>
          <w:szCs w:val="23"/>
        </w:rPr>
        <w:t>This policy applies to all networks </w:t>
      </w:r>
    </w:p>
    <w:p>
      <w:pPr>
        <w:divId w:val="2006086547"/>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Internal networks managed by Clone</w:t>
      </w:r>
    </w:p>
    <w:p>
      <w:pPr>
        <w:divId w:val="2006086547"/>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Cloud hosted networks managed by Clone </w:t>
      </w:r>
    </w:p>
    <w:p>
      <w:pPr>
        <w:divId w:val="2006086547"/>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Other third-party networks</w:t>
      </w:r>
    </w:p>
    <w:p/>
    <w:p>
      <w:pPr>
        <w:pStyle w:val="Heading2"/>
      </w:pPr>
      <w:r>
        <w:t>Background</w:t>
      </w:r>
    </w:p>
    <w:p>
      <w:pPr>
        <w:pStyle w:val="NormalWeb"/>
        <w:divId w:val="1460623409"/>
        <w:rPr>
          <w:rFonts w:ascii="Calibri" w:hAnsi="Calibri"/>
          <w:sz w:val="23"/>
          <w:szCs w:val="23"/>
        </w:rPr>
      </w:pPr>
      <w:r>
        <w:rPr>
          <w:rFonts w:ascii="Calibri" w:hAnsi="Calibri"/>
          <w:sz w:val="23"/>
          <w:szCs w:val="23"/>
        </w:rPr>
        <w:t>Networks are an essential component of all companies' security infrastructure, which manages connectivity and data flow to and from its information systems. As a result, it is critical to protect the networks from unauthorized access, malicious code, unwanted traffic, etc. Failure to protect the network will very easily lead to attacks such as </w:t>
      </w:r>
    </w:p>
    <w:p>
      <w:pPr>
        <w:divId w:val="1460623409"/>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Denial of service</w:t>
      </w:r>
    </w:p>
    <w:p>
      <w:pPr>
        <w:divId w:val="1460623409"/>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Ransomware</w:t>
      </w:r>
    </w:p>
    <w:p>
      <w:pPr>
        <w:divId w:val="1460623409"/>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Data breaches, loss, and theft</w:t>
      </w:r>
    </w:p>
    <w:p>
      <w:pPr>
        <w:divId w:val="1460623409"/>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Introduction of malicious code </w:t>
      </w:r>
    </w:p>
    <w:p/>
    <w:p>
      <w:pPr>
        <w:pStyle w:val="Heading2"/>
      </w:pPr>
      <w:r>
        <w:t>Policy</w:t>
      </w:r>
    </w:p>
    <w:p>
      <w:pPr>
        <w:pStyle w:val="Heading4"/>
        <w:divId w:val="1860302102"/>
        <w:rPr>
          <w:rFonts w:ascii="Calibri" w:eastAsia="Times New Roman" w:hAnsi="Calibri"/>
        </w:rPr>
      </w:pPr>
      <w:r>
        <w:rPr>
          <w:rFonts w:ascii="Calibri" w:eastAsia="Times New Roman" w:hAnsi="Calibri"/>
        </w:rPr>
        <w:t>Documenting the network</w:t>
      </w:r>
    </w:p>
    <w:p>
      <w:pPr>
        <w:pStyle w:val="NormalWeb"/>
        <w:divId w:val="1860302102"/>
        <w:rPr>
          <w:rFonts w:ascii="Calibri" w:hAnsi="Calibri"/>
          <w:sz w:val="23"/>
          <w:szCs w:val="23"/>
        </w:rPr>
      </w:pPr>
      <w:r>
        <w:rPr>
          <w:rFonts w:ascii="Calibri" w:hAnsi="Calibri"/>
          <w:sz w:val="23"/>
          <w:szCs w:val="23"/>
        </w:rPr>
        <w:t>All network patterns and high-level data flow at Clone are documented and regularly reviewed, and updated as required. The documentation, at the minimum, includes </w:t>
      </w:r>
    </w:p>
    <w:p>
      <w:pPr>
        <w:divId w:val="1860302102"/>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 diagram of permissible paths with a justification for each, </w:t>
      </w:r>
    </w:p>
    <w:p>
      <w:pPr>
        <w:divId w:val="1860302102"/>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 description of permissible services, ports, and protocols </w:t>
      </w:r>
    </w:p>
    <w:p>
      <w:pPr>
        <w:divId w:val="1860302102"/>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VPCs, Private and Public Subnets</w:t>
      </w:r>
    </w:p>
    <w:p>
      <w:pPr>
        <w:divId w:val="1860302102"/>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VPNs, Firewalls</w:t>
      </w:r>
    </w:p>
    <w:p>
      <w:pPr>
        <w:pStyle w:val="Heading4"/>
        <w:divId w:val="1860302102"/>
        <w:rPr>
          <w:rFonts w:ascii="Calibri" w:eastAsia="Times New Roman" w:hAnsi="Calibri"/>
        </w:rPr>
      </w:pPr>
      <w:r>
        <w:rPr>
          <w:rFonts w:ascii="Calibri" w:eastAsia="Times New Roman" w:hAnsi="Calibri"/>
        </w:rPr>
        <w:t>All ports, protocols, and connectivity will default to DENY </w:t>
      </w:r>
    </w:p>
    <w:p>
      <w:pPr>
        <w:pStyle w:val="NormalWeb"/>
        <w:divId w:val="1860302102"/>
        <w:rPr>
          <w:rFonts w:ascii="Calibri" w:hAnsi="Calibri"/>
          <w:sz w:val="23"/>
          <w:szCs w:val="23"/>
        </w:rPr>
      </w:pPr>
      <w:r>
        <w:rPr>
          <w:rFonts w:ascii="Calibri" w:hAnsi="Calibri"/>
          <w:sz w:val="23"/>
          <w:szCs w:val="23"/>
        </w:rPr>
        <w:t>Every connectivity path and service is blocked. The connectivity can be opened only by specific requests made or needed.</w:t>
      </w:r>
    </w:p>
    <w:p>
      <w:pPr>
        <w:pStyle w:val="Heading4"/>
        <w:divId w:val="1860302102"/>
        <w:rPr>
          <w:rFonts w:ascii="Calibri" w:eastAsia="Times New Roman" w:hAnsi="Calibri"/>
        </w:rPr>
      </w:pPr>
      <w:r>
        <w:rPr>
          <w:rFonts w:ascii="Calibri" w:eastAsia="Times New Roman" w:hAnsi="Calibri"/>
        </w:rPr>
        <w:t>Internal connections between machines</w:t>
      </w:r>
    </w:p>
    <w:p>
      <w:pPr>
        <w:pStyle w:val="NormalWeb"/>
        <w:divId w:val="1860302102"/>
        <w:rPr>
          <w:rFonts w:ascii="Calibri" w:hAnsi="Calibri"/>
          <w:sz w:val="23"/>
          <w:szCs w:val="23"/>
        </w:rPr>
      </w:pPr>
      <w:r>
        <w:rPr>
          <w:rFonts w:ascii="Calibri" w:hAnsi="Calibri"/>
          <w:sz w:val="23"/>
          <w:szCs w:val="23"/>
        </w:rPr>
        <w:t>Real-time connections between user machines and production machines must be disabled by default and be enabled only by special requests using bastion servers, security groups, white labeling, firewalls, or other access control methods.</w:t>
      </w:r>
    </w:p>
    <w:p>
      <w:pPr>
        <w:pStyle w:val="Heading4"/>
        <w:divId w:val="1860302102"/>
        <w:rPr>
          <w:rFonts w:ascii="Calibri" w:eastAsia="Times New Roman" w:hAnsi="Calibri"/>
        </w:rPr>
      </w:pPr>
      <w:r>
        <w:rPr>
          <w:rFonts w:ascii="Calibri" w:eastAsia="Times New Roman" w:hAnsi="Calibri"/>
        </w:rPr>
        <w:t>Secured Subnets &amp; demilitarized zone (DMZ)</w:t>
      </w:r>
    </w:p>
    <w:p>
      <w:pPr>
        <w:pStyle w:val="NormalWeb"/>
        <w:divId w:val="1860302102"/>
        <w:rPr>
          <w:rFonts w:ascii="Calibri" w:hAnsi="Calibri"/>
          <w:sz w:val="23"/>
          <w:szCs w:val="23"/>
        </w:rPr>
      </w:pPr>
      <w:r>
        <w:rPr>
          <w:rFonts w:ascii="Calibri" w:hAnsi="Calibri"/>
          <w:sz w:val="23"/>
          <w:szCs w:val="23"/>
        </w:rPr>
        <w:t>Secure servers such as databases should be disconnected from the public network and be deployed on their own private subnet. Access to this and other subnets should be restricted with firewalls and other access control measures. </w:t>
      </w:r>
    </w:p>
    <w:p>
      <w:pPr>
        <w:pStyle w:val="Heading4"/>
        <w:divId w:val="1860302102"/>
        <w:rPr>
          <w:rFonts w:ascii="Calibri" w:eastAsia="Times New Roman" w:hAnsi="Calibri"/>
        </w:rPr>
      </w:pPr>
      <w:r>
        <w:rPr>
          <w:rFonts w:ascii="Calibri" w:eastAsia="Times New Roman" w:hAnsi="Calibri"/>
        </w:rPr>
        <w:t>Encryption of traffic in transit</w:t>
      </w:r>
    </w:p>
    <w:p>
      <w:pPr>
        <w:pStyle w:val="NormalWeb"/>
        <w:divId w:val="1860302102"/>
        <w:rPr>
          <w:rFonts w:ascii="Calibri" w:hAnsi="Calibri"/>
          <w:sz w:val="23"/>
          <w:szCs w:val="23"/>
        </w:rPr>
      </w:pPr>
      <w:r>
        <w:rPr>
          <w:rFonts w:ascii="Calibri" w:hAnsi="Calibri"/>
          <w:sz w:val="23"/>
          <w:szCs w:val="23"/>
        </w:rPr>
        <w:t>All public-facing networks or traffic from public networks arriving at the public subnets should be encrypted using protocols such as HTTPS, or sftp</w:t>
      </w:r>
    </w:p>
    <w:p>
      <w:pPr>
        <w:pStyle w:val="Heading4"/>
        <w:divId w:val="1860302102"/>
        <w:rPr>
          <w:rFonts w:ascii="Calibri" w:eastAsia="Times New Roman" w:hAnsi="Calibri"/>
        </w:rPr>
      </w:pPr>
      <w:r>
        <w:rPr>
          <w:rFonts w:ascii="Calibri" w:eastAsia="Times New Roman" w:hAnsi="Calibri"/>
        </w:rPr>
        <w:t>Use of firewall</w:t>
      </w:r>
    </w:p>
    <w:p>
      <w:pPr>
        <w:pStyle w:val="NormalWeb"/>
        <w:divId w:val="1860302102"/>
        <w:rPr>
          <w:rFonts w:ascii="Calibri" w:hAnsi="Calibri"/>
          <w:sz w:val="23"/>
          <w:szCs w:val="23"/>
        </w:rPr>
      </w:pPr>
      <w:r>
        <w:rPr>
          <w:rFonts w:ascii="Calibri" w:hAnsi="Calibri"/>
          <w:sz w:val="23"/>
          <w:szCs w:val="23"/>
        </w:rPr>
        <w:t>Firewalls are defined as security systems that control and restrict network connectivity and network services. Firewalls establish a control point where access controls may be enforced. All connections from external and public networks should pass via a firewall.  This requirement applies no matter the technology employed, including wireless connections, cloud networks, wifi-routers, etc. </w:t>
      </w:r>
    </w:p>
    <w:p>
      <w:pPr>
        <w:pStyle w:val="Heading4"/>
        <w:divId w:val="1860302102"/>
        <w:rPr>
          <w:rFonts w:ascii="Calibri" w:eastAsia="Times New Roman" w:hAnsi="Calibri"/>
        </w:rPr>
      </w:pPr>
      <w:r>
        <w:rPr>
          <w:rFonts w:ascii="Calibri" w:eastAsia="Times New Roman" w:hAnsi="Calibri"/>
        </w:rPr>
        <w:t>Firewall rules</w:t>
      </w:r>
    </w:p>
    <w:p>
      <w:pPr>
        <w:pStyle w:val="NormalWeb"/>
        <w:divId w:val="1860302102"/>
        <w:rPr>
          <w:rFonts w:ascii="Calibri" w:hAnsi="Calibri"/>
          <w:sz w:val="23"/>
          <w:szCs w:val="23"/>
        </w:rPr>
      </w:pPr>
      <w:r>
        <w:rPr>
          <w:rFonts w:ascii="Calibri" w:hAnsi="Calibri"/>
          <w:sz w:val="23"/>
          <w:szCs w:val="23"/>
        </w:rPr>
        <w:t>Firewall rules should, at the minimum, have the following protection </w:t>
      </w:r>
    </w:p>
    <w:p>
      <w:pPr>
        <w:divId w:val="1860302102"/>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OWASP top 10 </w:t>
      </w:r>
    </w:p>
    <w:p>
      <w:pPr>
        <w:divId w:val="1860302102"/>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DDOS</w:t>
      </w:r>
    </w:p>
    <w:p>
      <w:pPr>
        <w:divId w:val="1860302102"/>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Block traffic from known malicious IP addresses</w:t>
      </w:r>
    </w:p>
    <w:p>
      <w:pPr>
        <w:divId w:val="1860302102"/>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Suspicious network activity </w:t>
      </w:r>
    </w:p>
    <w:p>
      <w:pPr>
        <w:divId w:val="1860302102"/>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Block specific ports and protocols</w:t>
      </w:r>
    </w:p>
    <w:p>
      <w:pPr>
        <w:pStyle w:val="Heading4"/>
        <w:divId w:val="1860302102"/>
        <w:rPr>
          <w:rFonts w:ascii="Calibri" w:eastAsia="Times New Roman" w:hAnsi="Calibri"/>
        </w:rPr>
      </w:pPr>
      <w:r>
        <w:rPr>
          <w:rFonts w:ascii="Calibri" w:eastAsia="Times New Roman" w:hAnsi="Calibri"/>
        </w:rPr>
        <w:t>Firewall Access Mechanisms</w:t>
      </w:r>
    </w:p>
    <w:p>
      <w:pPr>
        <w:pStyle w:val="NormalWeb"/>
        <w:divId w:val="1860302102"/>
        <w:rPr>
          <w:rFonts w:ascii="Calibri" w:hAnsi="Calibri"/>
          <w:sz w:val="23"/>
          <w:szCs w:val="23"/>
        </w:rPr>
      </w:pPr>
      <w:r>
        <w:rPr>
          <w:rFonts w:ascii="Calibri" w:hAnsi="Calibri"/>
          <w:sz w:val="23"/>
          <w:szCs w:val="23"/>
        </w:rPr>
        <w:t>Firewall access must be considered an elevated privilege and should follow procedures for granting elevated access. </w:t>
      </w:r>
    </w:p>
    <w:p>
      <w:pPr>
        <w:pStyle w:val="Heading4"/>
        <w:divId w:val="1860302102"/>
        <w:rPr>
          <w:rFonts w:ascii="Calibri" w:eastAsia="Times New Roman" w:hAnsi="Calibri"/>
        </w:rPr>
      </w:pPr>
      <w:r>
        <w:rPr>
          <w:rFonts w:ascii="Calibri" w:eastAsia="Times New Roman" w:hAnsi="Calibri"/>
        </w:rPr>
        <w:t>Logging and Monitoring</w:t>
      </w:r>
    </w:p>
    <w:p>
      <w:pPr>
        <w:pStyle w:val="NormalWeb"/>
        <w:divId w:val="1860302102"/>
        <w:rPr>
          <w:rFonts w:ascii="Calibri" w:hAnsi="Calibri"/>
          <w:sz w:val="23"/>
          <w:szCs w:val="23"/>
        </w:rPr>
      </w:pPr>
      <w:r>
        <w:rPr>
          <w:rFonts w:ascii="Calibri" w:hAnsi="Calibri"/>
          <w:sz w:val="23"/>
          <w:szCs w:val="23"/>
        </w:rPr>
        <w:t>All changes to network and firewall configuration parameters enabled services and permitted connectivity paths must be logged. All suspicious activity should be monitored using automated software. The integrity of these logs must be protected with checksums, digital signatures, encryption, or similar measures. These logs must be promptly removed and stored in a physically protected container for at least six months after the time they were recorded. These logs must be reviewed periodically to ensure that the firewalls operate securely. </w:t>
      </w:r>
    </w:p>
    <w:p>
      <w:pPr>
        <w:pStyle w:val="Heading4"/>
        <w:divId w:val="1860302102"/>
        <w:rPr>
          <w:rFonts w:ascii="Calibri" w:eastAsia="Times New Roman" w:hAnsi="Calibri"/>
        </w:rPr>
      </w:pPr>
      <w:r>
        <w:rPr>
          <w:rFonts w:ascii="Calibri" w:eastAsia="Times New Roman" w:hAnsi="Calibri"/>
        </w:rPr>
        <w:t>Intrusion Detection</w:t>
      </w:r>
    </w:p>
    <w:p>
      <w:pPr>
        <w:pStyle w:val="NormalWeb"/>
        <w:divId w:val="1860302102"/>
        <w:rPr>
          <w:rFonts w:ascii="Calibri" w:hAnsi="Calibri"/>
          <w:sz w:val="23"/>
          <w:szCs w:val="23"/>
        </w:rPr>
      </w:pPr>
      <w:r>
        <w:rPr>
          <w:rFonts w:ascii="Calibri" w:hAnsi="Calibri"/>
          <w:sz w:val="23"/>
          <w:szCs w:val="23"/>
        </w:rPr>
        <w:t>All firewalls must include intrusion detection systems. Each of these intrusion detection systems must be configured to identify potential problems like unauthorized modifications to firewall system files and detect denial of service attacks in progress, etc.</w:t>
      </w:r>
    </w:p>
    <w:p>
      <w:pPr>
        <w:pStyle w:val="Heading4"/>
        <w:divId w:val="1860302102"/>
        <w:rPr>
          <w:rFonts w:ascii="Calibri" w:eastAsia="Times New Roman" w:hAnsi="Calibri"/>
        </w:rPr>
      </w:pPr>
      <w:r>
        <w:rPr>
          <w:rFonts w:ascii="Calibri" w:eastAsia="Times New Roman" w:hAnsi="Calibri"/>
        </w:rPr>
        <w:t>Backup of configuration files</w:t>
      </w:r>
    </w:p>
    <w:p>
      <w:pPr>
        <w:pStyle w:val="NormalWeb"/>
        <w:divId w:val="1860302102"/>
        <w:rPr>
          <w:rFonts w:ascii="Calibri" w:hAnsi="Calibri"/>
          <w:sz w:val="23"/>
          <w:szCs w:val="23"/>
        </w:rPr>
      </w:pPr>
      <w:r>
        <w:rPr>
          <w:rFonts w:ascii="Calibri" w:hAnsi="Calibri"/>
          <w:sz w:val="23"/>
          <w:szCs w:val="23"/>
        </w:rPr>
        <w:t> Back-up copies of firewall and other network configuration files, connectivity permission files, etc., are backed up and kept for 90 days.</w:t>
      </w:r>
    </w:p>
    <w:p>
      <w:pPr>
        <w:pStyle w:val="NormalWeb"/>
        <w:divId w:val="1860302102"/>
        <w:rPr>
          <w:rFonts w:ascii="Calibri" w:hAnsi="Calibri"/>
          <w:sz w:val="23"/>
          <w:szCs w:val="23"/>
        </w:rPr>
      </w:pPr>
      <w:r>
        <w:rPr>
          <w:rFonts w:ascii="Calibri" w:hAnsi="Calibri"/>
          <w:sz w:val="23"/>
          <w:szCs w:val="23"/>
        </w:rPr>
        <w:t>The backup files are stored in an online encrypted vault or alternate processing systems.</w:t>
      </w:r>
    </w:p>
    <w:p>
      <w:pPr>
        <w:pStyle w:val="Heading4"/>
        <w:divId w:val="1860302102"/>
        <w:rPr>
          <w:rFonts w:ascii="Calibri" w:eastAsia="Times New Roman" w:hAnsi="Calibri"/>
        </w:rPr>
      </w:pPr>
      <w:r>
        <w:rPr>
          <w:rFonts w:ascii="Calibri" w:eastAsia="Times New Roman" w:hAnsi="Calibri"/>
        </w:rPr>
        <w:t>Virus Screening and Content Screening</w:t>
      </w:r>
    </w:p>
    <w:p>
      <w:pPr>
        <w:pStyle w:val="NormalWeb"/>
        <w:divId w:val="1860302102"/>
        <w:rPr>
          <w:rFonts w:ascii="Calibri" w:hAnsi="Calibri"/>
          <w:sz w:val="23"/>
          <w:szCs w:val="23"/>
        </w:rPr>
      </w:pPr>
      <w:r>
        <w:rPr>
          <w:rFonts w:ascii="Calibri" w:hAnsi="Calibri"/>
          <w:sz w:val="23"/>
          <w:szCs w:val="23"/>
        </w:rPr>
        <w:t>All networks and network components such as firewalls must be screened for viruses or malicious code and files.</w:t>
      </w:r>
    </w:p>
    <w:p>
      <w:pPr>
        <w:pStyle w:val="Heading4"/>
        <w:divId w:val="1860302102"/>
        <w:rPr>
          <w:rFonts w:ascii="Calibri" w:eastAsia="Times New Roman" w:hAnsi="Calibri"/>
        </w:rPr>
      </w:pPr>
      <w:r>
        <w:rPr>
          <w:rFonts w:ascii="Calibri" w:eastAsia="Times New Roman" w:hAnsi="Calibri"/>
        </w:rPr>
        <w:t>Virtual Private Networks</w:t>
      </w:r>
    </w:p>
    <w:p>
      <w:pPr>
        <w:pStyle w:val="NormalWeb"/>
        <w:divId w:val="1860302102"/>
        <w:rPr>
          <w:rFonts w:ascii="Calibri" w:hAnsi="Calibri"/>
          <w:sz w:val="23"/>
          <w:szCs w:val="23"/>
        </w:rPr>
      </w:pPr>
      <w:r>
        <w:rPr>
          <w:rFonts w:ascii="Calibri" w:hAnsi="Calibri"/>
          <w:sz w:val="23"/>
          <w:szCs w:val="23"/>
        </w:rPr>
        <w:t>All remote and on-field employees should connect to VPN to access corporate networks. To prevent unauthorized disclosure of sensitive and valuable information, all inbound traffic, except Internet mail and other cloud-hosted systems, must be authenticated and encrypted with a VPN.</w:t>
      </w:r>
    </w:p>
    <w:p>
      <w:pPr>
        <w:pStyle w:val="Heading4"/>
        <w:divId w:val="1860302102"/>
        <w:rPr>
          <w:rFonts w:ascii="Calibri" w:eastAsia="Times New Roman" w:hAnsi="Calibri"/>
        </w:rPr>
      </w:pPr>
      <w:r>
        <w:rPr>
          <w:rFonts w:ascii="Calibri" w:eastAsia="Times New Roman" w:hAnsi="Calibri"/>
        </w:rPr>
        <w:t>Network and firewall testing</w:t>
      </w:r>
    </w:p>
    <w:p>
      <w:pPr>
        <w:pStyle w:val="NormalWeb"/>
        <w:divId w:val="1860302102"/>
        <w:rPr>
          <w:rFonts w:ascii="Calibri" w:hAnsi="Calibri"/>
          <w:sz w:val="23"/>
          <w:szCs w:val="23"/>
        </w:rPr>
      </w:pPr>
      <w:r>
        <w:rPr>
          <w:rFonts w:ascii="Calibri" w:hAnsi="Calibri"/>
          <w:sz w:val="23"/>
          <w:szCs w:val="23"/>
        </w:rPr>
        <w:t> - Because firewalls provide such an important control, their strength and proper configuration must be tested regularly. This testing process must include consideration of defined configuration parameters, enabled services, permitted connectivity paths, current administrative practices, and adequacy of the deployed security measures. These tests must include the regular execution of vulnerability identification software and the regular performance of penetration tests. These tests must be performed by technically proficient persons, either in the Information Technology department or working for a third-party contractor. Those responsible for either the administration or management of the involved firewalls must not perform these tests</w:t>
      </w:r>
    </w:p>
    <w:p>
      <w:pPr>
        <w:pStyle w:val="Heading4"/>
        <w:divId w:val="1860302102"/>
        <w:rPr>
          <w:rFonts w:ascii="Calibri" w:eastAsia="Times New Roman" w:hAnsi="Calibri"/>
        </w:rPr>
      </w:pPr>
      <w:r>
        <w:rPr>
          <w:rFonts w:ascii="Calibri" w:eastAsia="Times New Roman" w:hAnsi="Calibri"/>
        </w:rPr>
        <w:t>Contingency Planning</w:t>
      </w:r>
    </w:p>
    <w:p>
      <w:pPr>
        <w:pStyle w:val="NormalWeb"/>
        <w:divId w:val="1860302102"/>
        <w:rPr>
          <w:rFonts w:ascii="Calibri" w:hAnsi="Calibri"/>
          <w:sz w:val="23"/>
          <w:szCs w:val="23"/>
        </w:rPr>
      </w:pPr>
      <w:r>
        <w:rPr>
          <w:rFonts w:ascii="Calibri" w:hAnsi="Calibri"/>
          <w:sz w:val="23"/>
          <w:szCs w:val="23"/>
        </w:rPr>
        <w:t>Technical staff working on firewalls must prepare contingency plans that address the actions to be taken in the event of various problems, including system compromise, system malfunction, system crash, system overload, and Internet service provider unavailability.  These contingency plans must be kept current and be created along with Incident Response Team and IT support teams.</w:t>
      </w:r>
    </w:p>
    <w:p>
      <w:pPr>
        <w:pStyle w:val="NormalWeb"/>
        <w:divId w:val="1860302102"/>
        <w:rPr>
          <w:rFonts w:ascii="Calibri" w:hAnsi="Calibri"/>
          <w:sz w:val="23"/>
          <w:szCs w:val="23"/>
        </w:rPr>
      </w:pPr>
      <w:r>
        <w:rPr>
          <w:rFonts w:ascii="Calibri" w:hAnsi="Calibri"/>
          <w:sz w:val="23"/>
          <w:szCs w:val="23"/>
        </w:rPr>
        <w:t> </w:t>
      </w:r>
    </w:p>
    <w:p/>
    <w:p>
      <w:pPr>
        <w:pStyle w:val="Heading2"/>
      </w:pPr>
      <w:r>
        <w:t>Enforcement</w:t>
      </w:r>
    </w:p>
    <w:p>
      <w:pPr>
        <w:pStyle w:val="NormalWeb"/>
        <w:divId w:val="1565348207"/>
        <w:rPr>
          <w:rFonts w:ascii="Calibri" w:hAnsi="Calibri"/>
          <w:sz w:val="23"/>
          <w:szCs w:val="23"/>
        </w:rPr>
      </w:pPr>
      <w:r>
        <w:rPr>
          <w:rFonts w:ascii="Calibri" w:hAnsi="Calibri"/>
          <w:sz w:val="23"/>
          <w:szCs w:val="23"/>
        </w:rPr>
        <w:t>Departures from this policy will be permitted only if approved in advance and written by the IT department.</w:t>
      </w:r>
    </w:p>
    <w:p>
      <w:pPr>
        <w:pStyle w:val="NormalWeb"/>
        <w:divId w:val="1565348207"/>
        <w:rPr>
          <w:rFonts w:ascii="Calibri" w:hAnsi="Calibri"/>
          <w:sz w:val="23"/>
          <w:szCs w:val="23"/>
        </w:rPr>
      </w:pPr>
      <w:r>
        <w:rPr>
          <w:rFonts w:ascii="Calibri" w:hAnsi="Calibri"/>
          <w:sz w:val="23"/>
          <w:szCs w:val="23"/>
        </w:rPr>
        <w:t>In some instances, systems such as routers or gateways may function as firewalls using Cloud-provided infrastructure.</w:t>
      </w:r>
    </w:p>
    <w:p/>
    <w:p/>
    <w:p w:rsidR="0058209B" w:rsidRPr="00BC5D7F" w:rsidP="00A52C45" w14:paraId="346B3C77" w14:textId="77777777"/>
    <w:sectPr w:rsidSect="001C6AF3">
      <w:headerReference w:type="even" r:id="rId8"/>
      <w:headerReference w:type="default" r:id="rId9"/>
      <w:footerReference w:type="even" r:id="rId10"/>
      <w:footerReference w:type="default" r:id="rId11"/>
      <w:headerReference w:type="first" r:id="rId12"/>
      <w:footerReference w:type="first" r:id="rId13"/>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9D2EA6" w:rsidP="00E02961" w14:paraId="7087D1B7" w14:textId="77777777">
      <w:pPr>
        <w:spacing w:after="0" w:line="240" w:lineRule="auto"/>
      </w:pPr>
      <w:r>
        <w:separator/>
      </w:r>
    </w:p>
    <w:p w:rsidR="009D2EA6" w14:paraId="25854D19" w14:textId="77777777"/>
    <w:p w:rsidR="009D2EA6" w14:paraId="05EB760D" w14:textId="77777777"/>
  </w:endnote>
  <w:endnote w:type="continuationSeparator" w:id="1">
    <w:p w:rsidR="009D2EA6" w:rsidP="00E02961" w14:paraId="23477BD9" w14:textId="77777777">
      <w:pPr>
        <w:spacing w:after="0" w:line="240" w:lineRule="auto"/>
      </w:pPr>
      <w:r>
        <w:continuationSeparator/>
      </w:r>
    </w:p>
    <w:p w:rsidR="009D2EA6" w14:paraId="0866E9C9" w14:textId="77777777"/>
    <w:p w:rsidR="009D2EA6" w14:paraId="6F236F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5D1081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B598E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376F" w:rsidP="008B376F" w14:paraId="5CF557C2" w14:textId="7AD27C7A">
    <w:pPr>
      <w:pStyle w:val="Footer"/>
      <w:tabs>
        <w:tab w:val="left" w:pos="3900"/>
        <w:tab w:val="clear" w:pos="4680"/>
        <w:tab w:val="clear" w:pos="93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9D2EA6" w:rsidP="00E02961" w14:paraId="4F704A10" w14:textId="77777777">
      <w:pPr>
        <w:spacing w:after="0" w:line="240" w:lineRule="auto"/>
      </w:pPr>
      <w:r>
        <w:separator/>
      </w:r>
    </w:p>
    <w:p w:rsidR="009D2EA6" w14:paraId="21D61943" w14:textId="77777777"/>
    <w:p w:rsidR="009D2EA6" w14:paraId="2D93E3D3" w14:textId="77777777"/>
  </w:footnote>
  <w:footnote w:type="continuationSeparator" w:id="1">
    <w:p w:rsidR="009D2EA6" w:rsidP="00E02961" w14:paraId="68E84526" w14:textId="77777777">
      <w:pPr>
        <w:spacing w:after="0" w:line="240" w:lineRule="auto"/>
      </w:pPr>
      <w:r>
        <w:continuationSeparator/>
      </w:r>
    </w:p>
    <w:p w:rsidR="009D2EA6" w14:paraId="31B1BFB6" w14:textId="77777777"/>
    <w:p w:rsidR="009D2EA6" w14:paraId="0B147B1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1501474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7B2B477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480CC6B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BC3593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EED2741"/>
    <w:multiLevelType w:val="hybridMultilevel"/>
    <w:tmpl w:val="766ED34C"/>
    <w:lvl w:ilvl="0">
      <w:start w:val="17"/>
      <w:numFmt w:val="bullet"/>
      <w:lvlText w:val=""/>
      <w:lvlJc w:val="left"/>
      <w:pPr>
        <w:ind w:left="720" w:hanging="360"/>
      </w:pPr>
      <w:rPr>
        <w:rFonts w:ascii="Wingdings" w:hAnsi="Wingdings"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attachedTemplate r:id="rId1"/>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171963954">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60623409">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565348207">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 w:id="1860302102">
      <w:bodyDiv w:val="1"/>
      <w:marLeft w:val="0"/>
      <w:marRight w:val="0"/>
      <w:marTop w:val="0"/>
      <w:marBottom w:val="0"/>
      <w:divBdr>
        <w:top w:val="none" w:sz="0" w:space="0" w:color="auto"/>
        <w:left w:val="none" w:sz="0" w:space="0" w:color="auto"/>
        <w:bottom w:val="none" w:sz="0" w:space="0" w:color="auto"/>
        <w:right w:val="none" w:sz="0" w:space="0" w:color="auto"/>
      </w:divBdr>
    </w:div>
    <w:div w:id="20060865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_rels/settings.xml.rels><?xml version="1.0" encoding="utf-8" standalone="yes"?><Relationships xmlns="http://schemas.openxmlformats.org/package/2006/relationships"><Relationship Id="rId1" Type="http://schemas.openxmlformats.org/officeDocument/2006/relationships/attachedTemplate" Target="file:///D:/new_project/cm-services/cm-api/src/main/resources/templates/audit-soc2-report.dotx" TargetMode="External" /></Relationships>
</file>

<file path=word/theme/_rels/theme1.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audit-soc2-report.dotx</Template>
  <TotalTime>91</TotalTime>
  <Pages>1</Pages>
  <Words>15</Words>
  <Characters>164</Characters>
  <Application>Microsoft Office Word</Application>
  <DocSecurity>0</DocSecurity>
  <Lines>54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Kumar</cp:lastModifiedBy>
  <cp:revision>73</cp:revision>
  <dcterms:created xsi:type="dcterms:W3CDTF">2020-01-14T13:16:00Z</dcterms:created>
  <dcterms:modified xsi:type="dcterms:W3CDTF">2024-05-28T14:02:00Z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ies>
</file>