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841585606" name="Drawing 0" descr="title_logo"/>
            <wp:cNvGraphicFramePr/>
            <a:graphic xmlns:a="http://schemas.openxmlformats.org/drawingml/2006/main">
              <a:graphicData uri="http://schemas.openxmlformats.org/drawingml/2006/picture">
                <pic:pic xmlns:pic="http://schemas.openxmlformats.org/drawingml/2006/picture">
                  <pic:nvPicPr>
                    <pic:cNvPr id="841585606"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Personnel Security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975402463"/>
        <w:rPr>
          <w:rFonts w:ascii="Calibri" w:hAnsi="Calibri"/>
          <w:sz w:val="23"/>
          <w:szCs w:val="23"/>
        </w:rPr>
      </w:pPr>
      <w:r>
        <w:rPr>
          <w:rFonts w:ascii="Calibri" w:hAnsi="Calibri"/>
          <w:sz w:val="23"/>
          <w:szCs w:val="23"/>
        </w:rPr>
        <w:t>To ensure that personnel security safeguards are applied to the access and use of information technology resources and data.</w:t>
      </w:r>
    </w:p>
    <w:p/>
    <w:p>
      <w:pPr>
        <w:pStyle w:val="Heading2"/>
      </w:pPr>
      <w:r>
        <w:t>Scope</w:t>
      </w:r>
    </w:p>
    <w:p>
      <w:pPr>
        <w:pStyle w:val="NormalWeb"/>
        <w:divId w:val="1301503934"/>
        <w:rPr>
          <w:rFonts w:ascii="Calibri" w:hAnsi="Calibri"/>
          <w:sz w:val="23"/>
          <w:szCs w:val="23"/>
        </w:rPr>
      </w:pPr>
      <w:r>
        <w:rPr>
          <w:rFonts w:ascii="Calibri" w:hAnsi="Calibri"/>
          <w:sz w:val="23"/>
          <w:szCs w:val="23"/>
        </w:rPr>
        <w:t>The (Company) Personnel Security and Awareness Training Policy apply to all individuals responsible for hiring, onboarding, offboarding, and training of personnel given access to (Company) Information Resources. </w:t>
      </w:r>
    </w:p>
    <w:p/>
    <w:p>
      <w:pPr>
        <w:pStyle w:val="Heading2"/>
      </w:pPr>
      <w:r>
        <w:t>Background</w:t>
      </w:r>
    </w:p>
    <w:p>
      <w:pPr>
        <w:pStyle w:val="NormalWeb"/>
        <w:divId w:val="306991334"/>
        <w:rPr>
          <w:rFonts w:ascii="Calibri" w:hAnsi="Calibri"/>
          <w:sz w:val="23"/>
          <w:szCs w:val="23"/>
        </w:rPr>
      </w:pPr>
      <w:r>
        <w:rPr>
          <w:rFonts w:ascii="Calibri" w:hAnsi="Calibri"/>
          <w:sz w:val="23"/>
          <w:szCs w:val="23"/>
        </w:rPr>
        <w:t>Security personnel is expected to comply with a variety of methods designed to protect the companies they work for. Personnel security policy covers those methods that the organization employs to protect information systems from insider threats and malicious actors.</w:t>
      </w:r>
    </w:p>
    <w:p/>
    <w:p>
      <w:pPr>
        <w:pStyle w:val="Heading2"/>
      </w:pPr>
      <w:r>
        <w:t>Policy</w:t>
      </w:r>
    </w:p>
    <w:p>
      <w:pPr>
        <w:pStyle w:val="Heading3"/>
        <w:divId w:val="518119353"/>
        <w:rPr>
          <w:rFonts w:ascii="Calibri" w:eastAsia="Times New Roman" w:hAnsi="Calibri"/>
        </w:rPr>
      </w:pPr>
      <w:r>
        <w:rPr>
          <w:rFonts w:ascii="Calibri" w:eastAsia="Times New Roman" w:hAnsi="Calibri"/>
        </w:rPr>
        <w:t>General</w:t>
      </w:r>
    </w:p>
    <w:p>
      <w:pPr>
        <w:divId w:val="518119353"/>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For all roles within Clone, the hiring process should ensure the candidate has the necessary competence to perform the role and can be trusted to take on the role, especially for roles related to the use, management, or protection of information security.</w:t>
      </w:r>
    </w:p>
    <w:p>
      <w:pPr>
        <w:divId w:val="518119353"/>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Information security responsibilities must be communicated to employees during the onboarding process.</w:t>
      </w:r>
    </w:p>
    <w:p>
      <w:pPr>
        <w:divId w:val="518119353"/>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employees must sign a Confidentiality/Non-Disclosure Agreement before being granted access to any information resource.</w:t>
      </w:r>
    </w:p>
    <w:p>
      <w:pPr>
        <w:divId w:val="518119353"/>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Upon termination of employment, personnel must be reminded of confidentiality and non-disclosure requirements.</w:t>
      </w:r>
    </w:p>
    <w:p>
      <w:pPr>
        <w:divId w:val="518119353"/>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 Clone will provide all employees an anonymous process for reporting violations of information security policies or procedures.</w:t>
      </w:r>
    </w:p>
    <w:p>
      <w:pPr>
        <w:pStyle w:val="Heading3"/>
        <w:divId w:val="518119353"/>
        <w:rPr>
          <w:rFonts w:ascii="Calibri" w:eastAsia="Times New Roman" w:hAnsi="Calibri"/>
        </w:rPr>
      </w:pPr>
      <w:r>
        <w:rPr>
          <w:rFonts w:ascii="Calibri" w:eastAsia="Times New Roman" w:hAnsi="Calibri"/>
        </w:rPr>
        <w:t>Background Checks</w:t>
      </w:r>
    </w:p>
    <w:p>
      <w:pPr>
        <w:divId w:val="518119353"/>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Background checks are required before employing Clone employees, regardless of whether a competitive recruitment process is used.</w:t>
      </w:r>
    </w:p>
    <w:p>
      <w:pPr>
        <w:divId w:val="518119353"/>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Background checks may be required for employees who change positions in the company, obtaining more sensitive duties, as determined by Human Resources or the hiring manager.</w:t>
      </w:r>
    </w:p>
    <w:p>
      <w:pPr>
        <w:divId w:val="518119353"/>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Background checks may be required for employees at any time after the employment start date, at the discretion of Human Resources or Executive Management.</w:t>
      </w:r>
    </w:p>
    <w:p>
      <w:pPr>
        <w:divId w:val="518119353"/>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 xml:space="preserve">Contractors with access to </w:t>
      </w:r>
      <w:r>
        <w:rPr>
          <w:rStyle w:val="Strong"/>
          <w:rFonts w:ascii="Calibri" w:eastAsia="Times New Roman" w:hAnsi="Calibri"/>
          <w:sz w:val="23"/>
          <w:szCs w:val="23"/>
        </w:rPr>
        <w:t>confidential information</w:t>
      </w:r>
      <w:r>
        <w:rPr>
          <w:rFonts w:ascii="Calibri" w:eastAsia="Times New Roman" w:hAnsi="Calibri"/>
          <w:sz w:val="23"/>
          <w:szCs w:val="23"/>
        </w:rPr>
        <w:t xml:space="preserve"> must have a process for conducting background checks on applicable staff. An agreement must be put in place specifying the responsibilities for conducting background checks if a procedure is not currently being followed or in question.</w:t>
      </w:r>
    </w:p>
    <w:p>
      <w:pPr>
        <w:pStyle w:val="Heading3"/>
        <w:divId w:val="518119353"/>
        <w:rPr>
          <w:rFonts w:ascii="Calibri" w:eastAsia="Times New Roman" w:hAnsi="Calibri"/>
        </w:rPr>
      </w:pPr>
      <w:r>
        <w:rPr>
          <w:rFonts w:ascii="Calibri" w:eastAsia="Times New Roman" w:hAnsi="Calibri"/>
        </w:rPr>
        <w:t>Training and Awareness</w:t>
      </w:r>
    </w:p>
    <w:p>
      <w:pPr>
        <w:divId w:val="518119353"/>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 xml:space="preserve">All new personnel must complete an approved </w:t>
      </w:r>
      <w:r>
        <w:rPr>
          <w:rStyle w:val="Strong"/>
          <w:rFonts w:ascii="Calibri" w:eastAsia="Times New Roman" w:hAnsi="Calibri"/>
          <w:sz w:val="23"/>
          <w:szCs w:val="23"/>
        </w:rPr>
        <w:t>Security Awareness</w:t>
      </w:r>
      <w:r>
        <w:rPr>
          <w:rFonts w:ascii="Calibri" w:eastAsia="Times New Roman" w:hAnsi="Calibri"/>
          <w:sz w:val="23"/>
          <w:szCs w:val="23"/>
        </w:rPr>
        <w:t xml:space="preserve"> training before or within 30 days of being granted access to any (Company) </w:t>
      </w:r>
      <w:r>
        <w:rPr>
          <w:rStyle w:val="Strong"/>
          <w:rFonts w:ascii="Calibri" w:eastAsia="Times New Roman" w:hAnsi="Calibri"/>
          <w:sz w:val="23"/>
          <w:szCs w:val="23"/>
        </w:rPr>
        <w:t>Information Resources</w:t>
      </w:r>
      <w:r>
        <w:rPr>
          <w:rFonts w:ascii="Calibri" w:eastAsia="Times New Roman" w:hAnsi="Calibri"/>
          <w:sz w:val="23"/>
          <w:szCs w:val="23"/>
        </w:rPr>
        <w:t>.</w:t>
      </w:r>
    </w:p>
    <w:p>
      <w:pPr>
        <w:divId w:val="518119353"/>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 xml:space="preserve">All personnel, including third parties and contractors, must be provided with relevant information security policies to allow them to protect adequately (Company) </w:t>
      </w:r>
      <w:r>
        <w:rPr>
          <w:rStyle w:val="Strong"/>
          <w:rFonts w:ascii="Calibri" w:eastAsia="Times New Roman" w:hAnsi="Calibri"/>
          <w:sz w:val="23"/>
          <w:szCs w:val="23"/>
        </w:rPr>
        <w:t>Information Resources</w:t>
      </w:r>
      <w:r>
        <w:rPr>
          <w:rFonts w:ascii="Calibri" w:eastAsia="Times New Roman" w:hAnsi="Calibri"/>
          <w:sz w:val="23"/>
          <w:szCs w:val="23"/>
        </w:rPr>
        <w:t>.</w:t>
      </w:r>
    </w:p>
    <w:p>
      <w:pPr>
        <w:divId w:val="518119353"/>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 xml:space="preserve">All personnel, including third parties and contractors, must acknowledge they have received and agree to adhere to the (Company) Information Security Policies before they are granted access to (Company) </w:t>
      </w:r>
      <w:r>
        <w:rPr>
          <w:rStyle w:val="Strong"/>
          <w:rFonts w:ascii="Calibri" w:eastAsia="Times New Roman" w:hAnsi="Calibri"/>
          <w:sz w:val="23"/>
          <w:szCs w:val="23"/>
        </w:rPr>
        <w:t>Information Resources</w:t>
      </w:r>
      <w:r>
        <w:rPr>
          <w:rFonts w:ascii="Calibri" w:eastAsia="Times New Roman" w:hAnsi="Calibri"/>
          <w:sz w:val="23"/>
          <w:szCs w:val="23"/>
        </w:rPr>
        <w:t>.</w:t>
      </w:r>
    </w:p>
    <w:p>
      <w:pPr>
        <w:divId w:val="518119353"/>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personnel must complete the annual security awareness training.</w:t>
      </w:r>
    </w:p>
    <w:p/>
    <w:p>
      <w:pPr>
        <w:pStyle w:val="Heading2"/>
      </w:pPr>
      <w:r>
        <w:t>Enforcement</w:t>
      </w:r>
    </w:p>
    <w:p>
      <w:pPr>
        <w:pStyle w:val="NormalWeb"/>
        <w:divId w:val="1364551910"/>
        <w:rPr>
          <w:rFonts w:ascii="Calibri" w:hAnsi="Calibri"/>
          <w:sz w:val="23"/>
          <w:szCs w:val="23"/>
        </w:rPr>
      </w:pPr>
      <w:r>
        <w:rPr>
          <w:rFonts w:ascii="Calibri" w:hAnsi="Calibri"/>
          <w:sz w:val="23"/>
          <w:szCs w:val="23"/>
        </w:rPr>
        <w:t>Employees who violate this policy may be subject to appropriate disciplinary action up to and including discharge and civil and criminal penalties. Non-employees, including, without limitation, contractors, may be subject to termination of contractual agreements, denial of access to IT resources, and other actions, as well as both civil and criminal penalties.</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991334">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518119353">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975402463">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01503934">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364551910">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