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Record Keeping Policy</w:t>
      </w:r>
    </w:p>
    <w:p/>
    <w:p>
      <w:pPr>
        <w:pStyle w:val="Heading3"/>
      </w:pPr>
      <w:r>
        <w:t>Purpose</w:t>
      </w:r>
    </w:p>
    <w:p>
      <w:r>
        <w:t>The purpose of this document is to define the record keeping policy for &lt;Company_Name&gt; in accordance with the Cyber Resilience Act (CRA) and applicable regulatory requirements.</w:t>
      </w:r>
    </w:p>
    <w:p>
      <w:pPr>
        <w:pStyle w:val="Heading3"/>
      </w:pPr>
      <w:r>
        <w:t>Scope</w:t>
      </w:r>
    </w:p>
    <w:p>
      <w:r>
        <w:t>This document applies to all relevant personnel, systems, and processes within &lt;Company_Name&gt; that fall under the scope of the CRA compliance programme.</w:t>
      </w:r>
    </w:p>
    <w:p>
      <w:pPr>
        <w:pStyle w:val="Heading3"/>
      </w:pPr>
      <w:r>
        <w:t>Responsibilities</w:t>
      </w:r>
    </w:p>
    <w:p>
      <w:r>
        <w:t>The following roles are responsible for the implementation and maintenance of this document:</w:t>
      </w:r>
    </w:p>
    <w:p>
      <w:pPr>
        <w:pStyle w:val="ListBullet"/>
      </w:pPr>
      <w:r>
        <w:t>Information Security Officer</w:t>
      </w:r>
    </w:p>
    <w:p>
      <w:pPr>
        <w:pStyle w:val="ListBullet"/>
      </w:pPr>
      <w:r>
        <w:t>Compliance Manager</w:t>
      </w:r>
    </w:p>
    <w:p>
      <w:pPr>
        <w:pStyle w:val="ListBullet"/>
      </w:pPr>
      <w:r>
        <w:t>Relevant Department Heads</w:t>
      </w:r>
    </w:p>
    <w:p>
      <w:pPr>
        <w:pStyle w:val="Heading3"/>
      </w:pPr>
      <w:r>
        <w:t>Policy Statement</w:t>
      </w:r>
    </w:p>
    <w:p>
      <w:r>
        <w:t>&lt;Company_Name&gt; shall establish and maintain the record keeping policy to ensure compliance with the Cyber Resilience Act requirements. The detailed provisions are outlined below.</w:t>
      </w:r>
    </w:p>
    <w:p>
      <w:r>
        <w:t>[To be completed by the organisation]</w:t>
      </w:r>
    </w:p>
    <w:p>
      <w:pPr>
        <w:pStyle w:val="Heading3"/>
      </w:pPr>
      <w:r>
        <w:t>Review</w:t>
      </w:r>
    </w:p>
    <w:p>
      <w:r>
        <w:t>This document shall be reviewed at least annually or upon significant changes to the regulatory environment, organisational structure, or threat landscape.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