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20"/>
        <w:jc w:val="center"/>
      </w:pPr>
      <w:r>
        <w:rPr>
          <w:b/>
          <w:bCs/>
          <w:color w:val="0E7C86"/>
          <w:spacing w:val="20"/>
          <w:sz w:val="22"/>
          <w:szCs w:val="22"/>
        </w:rPr>
        <w:t xml:space="preserve">CYBERSECURITY TOOLS  ·  WEEKLY LEARNING TRACK</w:t>
      </w:r>
    </w:p>
    <w:p>
      <w:pPr>
        <w:spacing w:after="60"/>
        <w:jc w:val="center"/>
      </w:pPr>
      <w:r>
        <w:rPr>
          <w:b/>
          <w:bCs/>
          <w:color w:val="0B1F3A"/>
          <w:sz w:val="60"/>
          <w:szCs w:val="60"/>
        </w:rPr>
        <w:t xml:space="preserve">Nmap Reference Documentation</w:t>
      </w:r>
    </w:p>
    <w:p>
      <w:pPr>
        <w:spacing w:after="500"/>
        <w:jc w:val="center"/>
      </w:pPr>
      <w:r>
        <w:rPr>
          <w:color w:val="5B6472"/>
          <w:sz w:val="30"/>
          <w:szCs w:val="30"/>
        </w:rPr>
        <w:t xml:space="preserve">Module 3 — Target Specification &amp; Host Discovery</w:t>
      </w:r>
    </w:p>
    <w:p>
      <w:pPr>
        <w:pBdr>
          <w:top w:val="single" w:color="0E7C86" w:sz="6" w:space="10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spacing w:after="60"/>
        <w:jc w:val="center"/>
      </w:pPr>
      <w:r>
        <w:rPr>
          <w:b/>
          <w:bCs/>
          <w:color w:val="1A1A1A"/>
          <w:sz w:val="24"/>
          <w:szCs w:val="24"/>
        </w:rPr>
        <w:t xml:space="preserve">Prepared by Emmanuel Aidoo</w:t>
      </w:r>
    </w:p>
    <w:p>
      <w:pPr>
        <w:spacing w:after="0"/>
        <w:jc w:val="center"/>
      </w:pPr>
      <w:r>
        <w:rPr>
          <w:color w:val="5B6472"/>
          <w:sz w:val="20"/>
          <w:szCs w:val="20"/>
        </w:rPr>
        <w:t xml:space="preserve">Kali Linux · Nmap 7.98</w:t>
      </w:r>
    </w:p>
    <w:p>
      <w:pPr>
        <w:spacing w:before="40"/>
        <w:jc w:val="center"/>
      </w:pPr>
      <w:r>
        <w:rPr>
          <w:color w:val="5B6472"/>
          <w:sz w:val="20"/>
          <w:szCs w:val="20"/>
        </w:rPr>
        <w:t xml:space="preserve">September 14, 2026</w:t>
      </w:r>
    </w:p>
    <w:p>
      <w:r>
        <w:br w:type="page"/>
      </w:r>
    </w:p>
    <w:p>
      <w:pPr>
        <w:sectPr>
          <w:pgSz w:w="12240" w:h="15840" w:orient="portrait"/>
          <w:pgMar w:top="1350" w:right="1150" w:bottom="1250" w:left="1150" w:header="708" w:footer="708" w:gutter="0"/>
          <w:pgNumType/>
          <w:docGrid w:linePitch="360"/>
        </w:sectPr>
      </w:pPr>
    </w:p>
    <w:p>
      <w:pPr>
        <w:spacing w:after="320"/>
      </w:pPr>
      <w:r>
        <w:rPr>
          <w:b/>
          <w:bCs/>
          <w:color w:val="0B1F3A"/>
          <w:sz w:val="36"/>
          <w:szCs w:val="36"/>
        </w:rPr>
        <w:t xml:space="preserve">Contents</w:t>
      </w:r>
    </w:p>
    <w:p>
      <w:pPr>
        <w:tabs>
          <w:tab w:val="right" w:pos="9350" w:leader="dot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1   </w:t>
      </w:r>
      <w:r>
        <w:rPr>
          <w:color w:val="1A1A1A"/>
          <w:sz w:val="24"/>
          <w:szCs w:val="24"/>
        </w:rPr>
        <w:t xml:space="preserve">Single IP Address Scan	3</w:t>
      </w:r>
    </w:p>
    <w:p>
      <w:pPr>
        <w:tabs>
          <w:tab w:val="right" w:pos="9350" w:leader="dot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2   </w:t>
      </w:r>
      <w:r>
        <w:rPr>
          <w:color w:val="1A1A1A"/>
          <w:sz w:val="24"/>
          <w:szCs w:val="24"/>
        </w:rPr>
        <w:t xml:space="preserve">Multiple Host Scanning	3</w:t>
      </w:r>
    </w:p>
    <w:p>
      <w:pPr>
        <w:tabs>
          <w:tab w:val="right" w:pos="9350" w:leader="dot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3   </w:t>
      </w:r>
      <w:r>
        <w:rPr>
          <w:color w:val="1A1A1A"/>
          <w:sz w:val="24"/>
          <w:szCs w:val="24"/>
        </w:rPr>
        <w:t xml:space="preserve">CIDR Range Scan	4</w:t>
      </w:r>
    </w:p>
    <w:p>
      <w:pPr>
        <w:tabs>
          <w:tab w:val="right" w:pos="9350" w:leader="dot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4   </w:t>
      </w:r>
      <w:r>
        <w:rPr>
          <w:color w:val="1A1A1A"/>
          <w:sz w:val="24"/>
          <w:szCs w:val="24"/>
        </w:rPr>
        <w:t xml:space="preserve">Verbose Scan &amp; Timing Behaviour	5</w:t>
      </w:r>
    </w:p>
    <w:p>
      <w:pPr>
        <w:tabs>
          <w:tab w:val="right" w:pos="9350" w:leader="dot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5   </w:t>
      </w:r>
      <w:r>
        <w:rPr>
          <w:color w:val="1A1A1A"/>
          <w:sz w:val="24"/>
          <w:szCs w:val="24"/>
        </w:rPr>
        <w:t xml:space="preserve">Key Takeaways	6</w:t>
      </w:r>
    </w:p>
    <w:p>
      <w:r>
        <w:br w:type="page"/>
      </w:r>
    </w:p>
    <w:p>
      <w:pPr>
        <w:sectPr>
          <w:pgSz w:w="12240" w:h="15840" w:orient="portrait"/>
          <w:pgMar w:top="1350" w:right="1150" w:bottom="1250" w:left="1150" w:header="708" w:footer="708" w:gutter="0"/>
          <w:pgNumType/>
          <w:docGrid w:linePitch="360"/>
        </w:sectPr>
      </w:pPr>
    </w:p>
    <w:p>
      <w:pPr>
        <w:spacing w:after="160" w:line="300"/>
        <w:jc w:val="both"/>
      </w:pPr>
      <w:r>
        <w:rPr>
          <w:i/>
          <w:iCs/>
          <w:color w:val="5B6472"/>
          <w:sz w:val="22"/>
          <w:szCs w:val="22"/>
        </w:rPr>
        <w:t xml:space="preserve">This module covers scanning single targets, multiple targets, and CIDR-notation ranges, plus a look at Nmap's scan phases and internal timing/retransmission behaviour on a real-world host.</w:t>
      </w:r>
    </w:p>
    <w:p>
      <w:pPr>
        <w:pStyle w:val="Heading1"/>
        <w:pBdr>
          <w:bottom w:val="single" w:color="0E7C86" w:sz="8" w:space="6"/>
        </w:pBdr>
        <w:spacing w:after="200" w:before="480"/>
      </w:pPr>
      <w:r>
        <w:rPr>
          <w:b/>
          <w:bCs/>
          <w:color w:val="0E7C86"/>
          <w:sz w:val="30"/>
          <w:szCs w:val="30"/>
        </w:rPr>
        <w:t xml:space="preserve">1  </w:t>
      </w:r>
      <w:r>
        <w:rPr>
          <w:b/>
          <w:bCs/>
          <w:color w:val="0B1F3A"/>
          <w:sz w:val="30"/>
          <w:szCs w:val="30"/>
        </w:rPr>
        <w:t xml:space="preserve">Single IP Address Scan</w:t>
      </w:r>
    </w:p>
    <w:p>
      <w:pPr>
        <w:spacing w:after="160" w:line="300"/>
        <w:jc w:val="both"/>
      </w:pPr>
      <w:r>
        <w:rPr>
          <w:color w:val="1A1A1A"/>
          <w:sz w:val="22"/>
          <w:szCs w:val="22"/>
        </w:rPr>
        <w:t xml:space="preserve">A scan against one target IP with default Nmap settings (SYN scan, top 1000 ports).</w:t>
      </w:r>
    </w:p>
    <w:tbl>
      <w:tblPr>
        <w:tblW w:type="pct" w:w="100%"/>
        <w:tblBorders>
          <w:top w:val="single" w:color="0D1117" w:sz="2"/>
          <w:left w:val="single" w:color="0D1117" w:sz="2"/>
          <w:bottom w:val="single" w:color="0D1117" w:sz="2"/>
          <w:right w:val="single" w:color="0D1117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0D1117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FF5F56"/>
                <w:sz w:val="18"/>
                <w:szCs w:val="18"/>
              </w:rPr>
              <w:t xml:space="preserve">●  </w:t>
            </w:r>
            <w:r>
              <w:rPr>
                <w:color w:val="FFBD2E"/>
                <w:sz w:val="18"/>
                <w:szCs w:val="18"/>
              </w:rPr>
              <w:t xml:space="preserve">●  </w:t>
            </w:r>
            <w:r>
              <w:rPr>
                <w:color w:val="27C93F"/>
                <w:sz w:val="18"/>
                <w:szCs w:val="18"/>
              </w:rPr>
              <w:t xml:space="preserve">●  </w:t>
            </w:r>
          </w:p>
          <w:p>
            <w:pPr>
              <w:spacing w:after="0" w:before="10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C9D1D9"/>
                <w:sz w:val="20"/>
                <w:szCs w:val="20"/>
              </w:rPr>
              <w:t xml:space="preserve">nmap 173.230.138.70</w:t>
            </w:r>
          </w:p>
        </w:tc>
      </w:tr>
    </w:tbl>
    <w:p>
      <w:pPr>
        <w:pBdr>
          <w:top w:val="single" w:color="D0D7DE" w:sz="4" w:space="6"/>
          <w:bottom w:val="single" w:color="D0D7DE" w:sz="4" w:space="6"/>
          <w:left w:val="single" w:color="D0D7DE" w:sz="4" w:space="6"/>
          <w:right w:val="single" w:color="D0D7DE" w:sz="4" w:space="6"/>
        </w:pBdr>
        <w:spacing w:after="80" w:before="2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1  ·  </w:t>
      </w:r>
      <w:r>
        <w:rPr>
          <w:i/>
          <w:iCs/>
          <w:color w:val="5B6472"/>
          <w:sz w:val="18"/>
          <w:szCs w:val="18"/>
        </w:rPr>
        <w:t xml:space="preserve">Default scan of a single host (173.230.138.70)</w:t>
      </w:r>
    </w:p>
    <w:p>
      <w:pPr>
        <w:spacing w:after="100" w:before="60"/>
      </w:pPr>
      <w:r>
        <w:rPr>
          <w:b/>
          <w:bCs/>
          <w:color w:val="0B1F3A"/>
          <w:sz w:val="20"/>
          <w:szCs w:val="20"/>
        </w:rPr>
        <w:t xml:space="preserve">Result summary</w:t>
      </w:r>
    </w:p>
    <w:tbl>
      <w:tblPr>
        <w:tblW w:type="dxa" w:w="9100"/>
        <w:tblBorders>
          <w:top w:val="single" w:color="B9C1CB" w:sz="4"/>
          <w:left w:val="single" w:color="B9C1CB" w:sz="4"/>
          <w:bottom w:val="single" w:color="B9C1CB" w:sz="4"/>
          <w:right w:val="single" w:color="B9C1CB" w:sz="4"/>
          <w:insideH w:val="single" w:color="D8DEE4" w:sz="2"/>
          <w:insideV w:val="single" w:color="D8DEE4" w:sz="2"/>
        </w:tblBorders>
      </w:tblPr>
      <w:tblGrid>
        <w:gridCol w:w="2200"/>
        <w:gridCol w:w="2200"/>
        <w:gridCol w:w="4700"/>
      </w:tblGrid>
      <w:tr>
        <w:trPr>
          <w:tblHeader/>
        </w:trPr>
        <w:tc>
          <w:tcPr>
            <w:tcW w:type="dxa" w:w="22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7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22/tcp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open</w:t>
            </w:r>
          </w:p>
        </w:tc>
        <w:tc>
          <w:tcPr>
            <w:tcW w:type="dxa" w:w="4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ssh</w:t>
            </w:r>
          </w:p>
        </w:tc>
      </w:tr>
      <w:tr>
        <w:tc>
          <w:tcPr>
            <w:tcW w:type="dxa" w:w="22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80/tcp</w:t>
            </w:r>
          </w:p>
        </w:tc>
        <w:tc>
          <w:tcPr>
            <w:tcW w:type="dxa" w:w="22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open</w:t>
            </w:r>
          </w:p>
        </w:tc>
        <w:tc>
          <w:tcPr>
            <w:tcW w:type="dxa" w:w="47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587/tcp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open</w:t>
            </w:r>
          </w:p>
        </w:tc>
        <w:tc>
          <w:tcPr>
            <w:tcW w:type="dxa" w:w="4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submission</w:t>
            </w:r>
          </w:p>
        </w:tc>
      </w:tr>
      <w:tr>
        <w:tc>
          <w:tcPr>
            <w:tcW w:type="dxa" w:w="22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3306/tcp</w:t>
            </w:r>
          </w:p>
        </w:tc>
        <w:tc>
          <w:tcPr>
            <w:tcW w:type="dxa" w:w="22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closed</w:t>
            </w:r>
          </w:p>
        </w:tc>
        <w:tc>
          <w:tcPr>
            <w:tcW w:type="dxa" w:w="47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mysql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D8DEE4" w:sz="2"/>
          <w:left w:val="single" w:color="0E7C86" w:sz="36"/>
          <w:bottom w:val="single" w:color="D8DEE4" w:sz="2"/>
          <w:right w:val="single" w:color="D8DEE4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5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 xml:space="preserve">Observation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996 of the 1000 scanned ports were filtered (no response). The host resolved to 173-230-138-70.ip.linodeuscontent.com, confirming it's a Linode-hosted server. Total scan time: 11.64 seconds.</w:t>
            </w:r>
          </w:p>
        </w:tc>
      </w:tr>
    </w:tbl>
    <w:p>
      <w:pPr>
        <w:pStyle w:val="Heading1"/>
        <w:pBdr>
          <w:bottom w:val="single" w:color="0E7C86" w:sz="8" w:space="6"/>
        </w:pBdr>
        <w:spacing w:after="200" w:before="480"/>
      </w:pPr>
      <w:r>
        <w:rPr>
          <w:b/>
          <w:bCs/>
          <w:color w:val="0E7C86"/>
          <w:sz w:val="30"/>
          <w:szCs w:val="30"/>
        </w:rPr>
        <w:t xml:space="preserve">2  </w:t>
      </w:r>
      <w:r>
        <w:rPr>
          <w:b/>
          <w:bCs/>
          <w:color w:val="0B1F3A"/>
          <w:sz w:val="30"/>
          <w:szCs w:val="30"/>
        </w:rPr>
        <w:t xml:space="preserve">Multiple Host Scanning</w:t>
      </w:r>
    </w:p>
    <w:p>
      <w:pPr>
        <w:spacing w:after="160" w:line="300"/>
        <w:jc w:val="both"/>
      </w:pPr>
      <w:r>
        <w:rPr>
          <w:color w:val="1A1A1A"/>
          <w:sz w:val="22"/>
          <w:szCs w:val="22"/>
        </w:rPr>
        <w:t xml:space="preserve">Nmap accepts more than one target in a single invocation — just separate them with spaces. Each target is scanned independently and reported in its own block.</w:t>
      </w:r>
    </w:p>
    <w:tbl>
      <w:tblPr>
        <w:tblW w:type="pct" w:w="100%"/>
        <w:tblBorders>
          <w:top w:val="single" w:color="0D1117" w:sz="2"/>
          <w:left w:val="single" w:color="0D1117" w:sz="2"/>
          <w:bottom w:val="single" w:color="0D1117" w:sz="2"/>
          <w:right w:val="single" w:color="0D1117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0D1117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FF5F56"/>
                <w:sz w:val="18"/>
                <w:szCs w:val="18"/>
              </w:rPr>
              <w:t xml:space="preserve">●  </w:t>
            </w:r>
            <w:r>
              <w:rPr>
                <w:color w:val="FFBD2E"/>
                <w:sz w:val="18"/>
                <w:szCs w:val="18"/>
              </w:rPr>
              <w:t xml:space="preserve">●  </w:t>
            </w:r>
            <w:r>
              <w:rPr>
                <w:color w:val="27C93F"/>
                <w:sz w:val="18"/>
                <w:szCs w:val="18"/>
              </w:rPr>
              <w:t xml:space="preserve">●  </w:t>
            </w:r>
          </w:p>
          <w:p>
            <w:pPr>
              <w:spacing w:after="0" w:before="10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C9D1D9"/>
                <w:sz w:val="20"/>
                <w:szCs w:val="20"/>
              </w:rPr>
              <w:t xml:space="preserve">nmap 8.8.8.8 173.230.138.70</w:t>
            </w:r>
          </w:p>
        </w:tc>
      </w:tr>
    </w:tbl>
    <w:p>
      <w:pPr>
        <w:pBdr>
          <w:top w:val="single" w:color="D0D7DE" w:sz="4" w:space="6"/>
          <w:bottom w:val="single" w:color="D0D7DE" w:sz="4" w:space="6"/>
          <w:left w:val="single" w:color="D0D7DE" w:sz="4" w:space="6"/>
          <w:right w:val="single" w:color="D0D7DE" w:sz="4" w:space="6"/>
        </w:pBdr>
        <w:spacing w:after="80" w:before="2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2  ·  </w:t>
      </w:r>
      <w:r>
        <w:rPr>
          <w:i/>
          <w:iCs/>
          <w:color w:val="5B6472"/>
          <w:sz w:val="18"/>
          <w:szCs w:val="18"/>
        </w:rPr>
        <w:t xml:space="preserve">Scanning two unrelated hosts in one command</w:t>
      </w:r>
    </w:p>
    <w:p>
      <w:pPr>
        <w:spacing w:after="100" w:before="60"/>
      </w:pPr>
      <w:r>
        <w:rPr>
          <w:b/>
          <w:bCs/>
          <w:color w:val="0B1F3A"/>
          <w:sz w:val="20"/>
          <w:szCs w:val="20"/>
        </w:rPr>
        <w:t xml:space="preserve">Result summary</w:t>
      </w:r>
    </w:p>
    <w:tbl>
      <w:tblPr>
        <w:tblW w:type="dxa" w:w="9100"/>
        <w:tblBorders>
          <w:top w:val="single" w:color="B9C1CB" w:sz="4"/>
          <w:left w:val="single" w:color="B9C1CB" w:sz="4"/>
          <w:bottom w:val="single" w:color="B9C1CB" w:sz="4"/>
          <w:right w:val="single" w:color="B9C1CB" w:sz="4"/>
          <w:insideH w:val="single" w:color="D8DEE4" w:sz="2"/>
          <w:insideV w:val="single" w:color="D8DEE4" w:sz="2"/>
        </w:tblBorders>
      </w:tblPr>
      <w:tblGrid>
        <w:gridCol w:w="2200"/>
        <w:gridCol w:w="2200"/>
        <w:gridCol w:w="4700"/>
      </w:tblGrid>
      <w:tr>
        <w:trPr>
          <w:tblHeader/>
        </w:trPr>
        <w:tc>
          <w:tcPr>
            <w:tcW w:type="dxa" w:w="22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2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 Ports</w:t>
            </w:r>
          </w:p>
        </w:tc>
        <w:tc>
          <w:tcPr>
            <w:tcW w:type="dxa" w:w="47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8.8.8.8
(dns.google)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53, 443, 587</w:t>
            </w:r>
          </w:p>
        </w:tc>
        <w:tc>
          <w:tcPr>
            <w:tcW w:type="dxa" w:w="4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Google public DNS resolver</w:t>
            </w:r>
          </w:p>
        </w:tc>
      </w:tr>
      <w:tr>
        <w:tc>
          <w:tcPr>
            <w:tcW w:type="dxa" w:w="22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173.230.138.70</w:t>
            </w:r>
          </w:p>
        </w:tc>
        <w:tc>
          <w:tcPr>
            <w:tcW w:type="dxa" w:w="22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22, 80, 587</w:t>
            </w:r>
          </w:p>
        </w:tc>
        <w:tc>
          <w:tcPr>
            <w:tcW w:type="dxa" w:w="47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Same Linode host as Section 1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D8DEE4" w:sz="2"/>
          <w:left w:val="single" w:color="0E7C86" w:sz="36"/>
          <w:bottom w:val="single" w:color="D8DEE4" w:sz="2"/>
          <w:right w:val="single" w:color="D8DEE4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5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 xml:space="preserve">Observation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Nmap ran the two scans back-to-back and reported “2 IP addresses (2 hosts up) scanned in 27.54 seconds” — roughly double the time of the single-host scan, since each target still gets its own full port probe.</w:t>
            </w:r>
          </w:p>
        </w:tc>
      </w:tr>
    </w:tbl>
    <w:p>
      <w:pPr>
        <w:pStyle w:val="Heading1"/>
        <w:pBdr>
          <w:bottom w:val="single" w:color="0E7C86" w:sz="8" w:space="6"/>
        </w:pBdr>
        <w:spacing w:after="200" w:before="480"/>
      </w:pPr>
      <w:r>
        <w:rPr>
          <w:b/>
          <w:bCs/>
          <w:color w:val="0E7C86"/>
          <w:sz w:val="30"/>
          <w:szCs w:val="30"/>
        </w:rPr>
        <w:t xml:space="preserve">3  </w:t>
      </w:r>
      <w:r>
        <w:rPr>
          <w:b/>
          <w:bCs/>
          <w:color w:val="0B1F3A"/>
          <w:sz w:val="30"/>
          <w:szCs w:val="30"/>
        </w:rPr>
        <w:t xml:space="preserve">CIDR Range Scan</w:t>
      </w:r>
    </w:p>
    <w:p>
      <w:pPr>
        <w:spacing w:after="160" w:line="300"/>
        <w:jc w:val="both"/>
      </w:pPr>
      <w:r>
        <w:rPr>
          <w:color w:val="1A1A1A"/>
          <w:sz w:val="22"/>
          <w:szCs w:val="22"/>
        </w:rPr>
        <w:t xml:space="preserve">Appending a CIDR suffix (e.g. /24) tells Nmap to expand the target into every address in that subnet and scan each one that responds. This is the fastest way to sweep a whole local network.</w:t>
      </w:r>
    </w:p>
    <w:tbl>
      <w:tblPr>
        <w:tblW w:type="pct" w:w="100%"/>
        <w:tblBorders>
          <w:top w:val="single" w:color="0D1117" w:sz="2"/>
          <w:left w:val="single" w:color="0D1117" w:sz="2"/>
          <w:bottom w:val="single" w:color="0D1117" w:sz="2"/>
          <w:right w:val="single" w:color="0D1117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0D1117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FF5F56"/>
                <w:sz w:val="18"/>
                <w:szCs w:val="18"/>
              </w:rPr>
              <w:t xml:space="preserve">●  </w:t>
            </w:r>
            <w:r>
              <w:rPr>
                <w:color w:val="FFBD2E"/>
                <w:sz w:val="18"/>
                <w:szCs w:val="18"/>
              </w:rPr>
              <w:t xml:space="preserve">●  </w:t>
            </w:r>
            <w:r>
              <w:rPr>
                <w:color w:val="27C93F"/>
                <w:sz w:val="18"/>
                <w:szCs w:val="18"/>
              </w:rPr>
              <w:t xml:space="preserve">●  </w:t>
            </w:r>
          </w:p>
          <w:p>
            <w:pPr>
              <w:spacing w:after="0" w:before="10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C9D1D9"/>
                <w:sz w:val="20"/>
                <w:szCs w:val="20"/>
              </w:rPr>
              <w:t xml:space="preserve">nmap 10.0.2.15/24</w:t>
            </w:r>
          </w:p>
        </w:tc>
      </w:tr>
    </w:tbl>
    <w:p>
      <w:pPr>
        <w:pBdr>
          <w:top w:val="single" w:color="D0D7DE" w:sz="4" w:space="6"/>
          <w:bottom w:val="single" w:color="D0D7DE" w:sz="4" w:space="6"/>
          <w:left w:val="single" w:color="D0D7DE" w:sz="4" w:space="6"/>
          <w:right w:val="single" w:color="D0D7DE" w:sz="4" w:space="6"/>
        </w:pBdr>
        <w:spacing w:after="80" w:before="2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3  ·  </w:t>
      </w:r>
      <w:r>
        <w:rPr>
          <w:i/>
          <w:iCs/>
          <w:color w:val="5B6472"/>
          <w:sz w:val="18"/>
          <w:szCs w:val="18"/>
        </w:rPr>
        <w:t xml:space="preserve">CIDR sweep of the 10.0.2.0/24 lab network</w:t>
      </w:r>
    </w:p>
    <w:p>
      <w:pPr>
        <w:spacing w:after="100" w:before="60"/>
      </w:pPr>
      <w:r>
        <w:rPr>
          <w:b/>
          <w:bCs/>
          <w:color w:val="0B1F3A"/>
          <w:sz w:val="20"/>
          <w:szCs w:val="20"/>
        </w:rPr>
        <w:t xml:space="preserve">Result summary</w:t>
      </w:r>
    </w:p>
    <w:tbl>
      <w:tblPr>
        <w:tblW w:type="dxa" w:w="9100"/>
        <w:tblBorders>
          <w:top w:val="single" w:color="B9C1CB" w:sz="4"/>
          <w:left w:val="single" w:color="B9C1CB" w:sz="4"/>
          <w:bottom w:val="single" w:color="B9C1CB" w:sz="4"/>
          <w:right w:val="single" w:color="B9C1CB" w:sz="4"/>
          <w:insideH w:val="single" w:color="D8DEE4" w:sz="2"/>
          <w:insideV w:val="single" w:color="D8DEE4" w:sz="2"/>
        </w:tblBorders>
      </w:tblPr>
      <w:tblGrid>
        <w:gridCol w:w="1900"/>
        <w:gridCol w:w="2400"/>
        <w:gridCol w:w="4800"/>
      </w:tblGrid>
      <w:tr>
        <w:trPr>
          <w:tblHeader/>
        </w:trPr>
        <w:tc>
          <w:tcPr>
            <w:tcW w:type="dxa" w:w="19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4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 Ports</w:t>
            </w:r>
          </w:p>
        </w:tc>
        <w:tc>
          <w:tcPr>
            <w:tcW w:type="dxa" w:w="48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10.0.2.2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135, 445, 902, 912,
3000, 5432, 8090</w:t>
            </w:r>
          </w:p>
        </w:tc>
        <w:tc>
          <w:tcPr>
            <w:tcW w:type="dxa" w:w="4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Likely the VMware/VirtualBox NAT gateway — a wide service mix (RPC, SMB, VMware tools, Postgres) is typical of the host machine's NAT interface, not a real endpoint</w:t>
            </w:r>
          </w:p>
        </w:tc>
      </w:tr>
      <w:tr>
        <w:tc>
          <w:tcPr>
            <w:tcW w:type="dxa" w:w="19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10.0.2.3</w:t>
            </w:r>
          </w:p>
        </w:tc>
        <w:tc>
          <w:tcPr>
            <w:tcW w:type="dxa" w:w="24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53 (domain)</w:t>
            </w:r>
          </w:p>
        </w:tc>
        <w:tc>
          <w:tcPr>
            <w:tcW w:type="dxa" w:w="4800"/>
            <w:shd w:fill="EA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The NAT DNS relay provided by the hypervisor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D8DEE4" w:sz="2"/>
          <w:left w:val="single" w:color="C97A2C" w:sz="36"/>
          <w:bottom w:val="single" w:color="D8DEE4" w:sz="2"/>
          <w:right w:val="single" w:color="D8DEE4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5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 xml:space="preserve">Key insight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Both hosts share the same MAC address (52:54:00:12:35:00), confirming they're virtual interfaces on the same QEMU/KVM NAT segment rather than separate physical machines — consistent with the VMware NAT false-positive behaviour logged in Module 2.</w:t>
            </w:r>
          </w:p>
        </w:tc>
      </w:tr>
    </w:tbl>
    <w:p>
      <w:pPr>
        <w:pStyle w:val="Heading1"/>
        <w:pBdr>
          <w:bottom w:val="single" w:color="0E7C86" w:sz="8" w:space="6"/>
        </w:pBdr>
        <w:spacing w:after="200" w:before="480"/>
      </w:pPr>
      <w:r>
        <w:rPr>
          <w:b/>
          <w:bCs/>
          <w:color w:val="0E7C86"/>
          <w:sz w:val="30"/>
          <w:szCs w:val="30"/>
        </w:rPr>
        <w:t xml:space="preserve">4  </w:t>
      </w:r>
      <w:r>
        <w:rPr>
          <w:b/>
          <w:bCs/>
          <w:color w:val="0B1F3A"/>
          <w:sz w:val="30"/>
          <w:szCs w:val="30"/>
        </w:rPr>
        <w:t xml:space="preserve">Verbose Scan &amp; Timing Behaviour</w:t>
      </w:r>
    </w:p>
    <w:p>
      <w:pPr>
        <w:spacing w:after="160" w:line="300"/>
        <w:jc w:val="both"/>
      </w:pPr>
      <w:r>
        <w:rPr>
          <w:color w:val="1A1A1A"/>
          <w:sz w:val="22"/>
          <w:szCs w:val="22"/>
        </w:rPr>
        <w:t xml:space="preserve">Running a scan against Nmap's public test host, scanme.nmap.org, surfaces the scan phases and timing engine that are normally hidden in quiet output.</w:t>
      </w:r>
    </w:p>
    <w:tbl>
      <w:tblPr>
        <w:tblW w:type="pct" w:w="100%"/>
        <w:tblBorders>
          <w:top w:val="single" w:color="0D1117" w:sz="2"/>
          <w:left w:val="single" w:color="0D1117" w:sz="2"/>
          <w:bottom w:val="single" w:color="0D1117" w:sz="2"/>
          <w:right w:val="single" w:color="0D1117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0D1117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FF5F56"/>
                <w:sz w:val="18"/>
                <w:szCs w:val="18"/>
              </w:rPr>
              <w:t xml:space="preserve">●  </w:t>
            </w:r>
            <w:r>
              <w:rPr>
                <w:color w:val="FFBD2E"/>
                <w:sz w:val="18"/>
                <w:szCs w:val="18"/>
              </w:rPr>
              <w:t xml:space="preserve">●  </w:t>
            </w:r>
            <w:r>
              <w:rPr>
                <w:color w:val="27C93F"/>
                <w:sz w:val="18"/>
                <w:szCs w:val="18"/>
              </w:rPr>
              <w:t xml:space="preserve">●  </w:t>
            </w:r>
          </w:p>
          <w:p>
            <w:pPr>
              <w:spacing w:after="0" w:before="10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C9D1D9"/>
                <w:sz w:val="20"/>
                <w:szCs w:val="20"/>
              </w:rPr>
              <w:t xml:space="preserve">nmap scanme.nmap.org</w:t>
            </w:r>
          </w:p>
        </w:tc>
      </w:tr>
    </w:tbl>
    <w:p>
      <w:pPr>
        <w:pBdr>
          <w:top w:val="single" w:color="D0D7DE" w:sz="4" w:space="6"/>
          <w:bottom w:val="single" w:color="D0D7DE" w:sz="4" w:space="6"/>
          <w:left w:val="single" w:color="D0D7DE" w:sz="4" w:space="6"/>
          <w:right w:val="single" w:color="D0D7DE" w:sz="4" w:space="6"/>
        </w:pBdr>
        <w:spacing w:after="80" w:before="2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4  ·  </w:t>
      </w:r>
      <w:r>
        <w:rPr>
          <w:i/>
          <w:iCs/>
          <w:color w:val="5B6472"/>
          <w:sz w:val="18"/>
          <w:szCs w:val="18"/>
        </w:rPr>
        <w:t xml:space="preserve">Scan phases and adaptive timing against scanme.nmap.org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Scan phases observed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A1A1A"/>
          <w:sz w:val="22"/>
          <w:szCs w:val="22"/>
        </w:rPr>
        <w:t xml:space="preserve">DNS resolution — scanme.nmap.org resolved to 45.33.32.156 before any probing started.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A1A1A"/>
          <w:sz w:val="22"/>
          <w:szCs w:val="22"/>
        </w:rPr>
        <w:t xml:space="preserve">Ping Scan — a quick host-discovery pass confirmed the target was up (1 host, 4 ports probed) before committing to a full port scan.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A1A1A"/>
          <w:sz w:val="22"/>
          <w:szCs w:val="22"/>
        </w:rPr>
        <w:t xml:space="preserve">SYN Stealth Scan — the main 1000-port probe. Ports 22, 80, 587 and later 9929 were discovered open.</w:t>
      </w:r>
    </w:p>
    <w:p>
      <w:pPr>
        <w:pStyle w:val="Heading2"/>
        <w:spacing w:after="140" w:before="280"/>
      </w:pPr>
      <w:r>
        <w:rPr>
          <w:b/>
          <w:bCs/>
          <w:color w:val="0E7C86"/>
          <w:sz w:val="24"/>
          <w:szCs w:val="24"/>
        </w:rPr>
        <w:t xml:space="preserve">Adaptive timing &amp; packet-loss handling</w:t>
      </w:r>
    </w:p>
    <w:p>
      <w:pPr>
        <w:spacing w:after="160" w:line="300"/>
        <w:jc w:val="both"/>
      </w:pPr>
      <w:r>
        <w:rPr>
          <w:color w:val="1A1A1A"/>
          <w:sz w:val="22"/>
          <w:szCs w:val="22"/>
        </w:rPr>
        <w:t xml:space="preserve">The repeated ‘adjust_timeouts2’ lines show Nmap's round-trip-time estimator reacting to inconsistent or dropped responses over the internet link (as opposed to the near-zero latency of the local lab network in Section 3). Because 11 of 17 probes were dropped, Nmap automatically increased its per-probe send delay from 0 to 5 (and later 5 to 10) to avoid overwhelming the path and reduce further loss — a built-in congestion-control behaviour, not an error.</w:t>
      </w:r>
    </w:p>
    <w:tbl>
      <w:tblPr>
        <w:tblW w:type="pct" w:w="100%"/>
        <w:tblBorders>
          <w:top w:val="single" w:color="D8DEE4" w:sz="2"/>
          <w:left w:val="single" w:color="0E7C86" w:sz="36"/>
          <w:bottom w:val="single" w:color="D8DEE4" w:sz="2"/>
          <w:right w:val="single" w:color="D8DEE4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5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 xml:space="preserve">Takeaway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Scans against real internet hosts are noisier and slower than scans on a local subnet, and Nmap's timing engine — not a fixed delay you set — adapts automatically to keep the scan reliable.</w:t>
            </w:r>
          </w:p>
        </w:tc>
      </w:tr>
    </w:tbl>
    <w:p>
      <w:pPr>
        <w:pStyle w:val="Heading1"/>
        <w:pBdr>
          <w:bottom w:val="single" w:color="0E7C86" w:sz="8" w:space="6"/>
        </w:pBdr>
        <w:spacing w:after="200" w:before="480"/>
      </w:pPr>
      <w:r>
        <w:rPr>
          <w:b/>
          <w:bCs/>
          <w:color w:val="0E7C86"/>
          <w:sz w:val="30"/>
          <w:szCs w:val="30"/>
        </w:rPr>
        <w:t xml:space="preserve">5  </w:t>
      </w:r>
      <w:r>
        <w:rPr>
          <w:b/>
          <w:bCs/>
          <w:color w:val="0B1F3A"/>
          <w:sz w:val="30"/>
          <w:szCs w:val="30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A1A1A"/>
          <w:sz w:val="22"/>
          <w:szCs w:val="22"/>
        </w:rPr>
        <w:t xml:space="preserve">A bare IP, hostname, list of targets, or CIDR block are all valid ways to specify what Nmap scans — the syntax scales from one host to a whole subnet.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A1A1A"/>
          <w:sz w:val="22"/>
          <w:szCs w:val="22"/>
        </w:rPr>
        <w:t xml:space="preserve">Filtered vs. closed vs. open all mean different things: filtered = no response (likely firewalled), closed = host responded but nothing is listening, open = a service is listening.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A1A1A"/>
          <w:sz w:val="22"/>
          <w:szCs w:val="22"/>
        </w:rPr>
        <w:t xml:space="preserve">Shared MAC addresses across ‘different’ hosts is a strong signal you're looking at virtual NAT infrastructure, not distinct machines.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A1A1A"/>
          <w:sz w:val="22"/>
          <w:szCs w:val="22"/>
        </w:rPr>
        <w:t xml:space="preserve">Nmap's timing/retransmission engine self-adjusts based on real network conditions — this is normal and expected on higher-latency or lossy links.</w:t>
      </w:r>
    </w:p>
    <w:sectPr>
      <w:headerReference w:type="default" r:id="rId7"/>
      <w:footerReference w:type="default" r:id="rId8"/>
      <w:pgSz w:w="12240" w:h="15840" w:orient="portrait"/>
      <w:pgMar w:top="13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4" w:sz="4" w:space="4"/>
      </w:pBd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4" w:sz="4" w:space="4"/>
      </w:pBdr>
      <w:tabs>
        <w:tab w:val="right" w:pos="9026"/>
      </w:tabs>
    </w:pPr>
    <w:r>
      <w:rPr>
        <w:color w:val="5B6472"/>
        <w:sz w:val="16"/>
        <w:szCs w:val="16"/>
      </w:rPr>
      <w:t xml:space="preserve">Nmap Reference Documentation</w:t>
    </w:r>
    <w:r>
      <w:rPr>
        <w:color w:val="5B6472"/>
        <w:sz w:val="16"/>
        <w:szCs w:val="16"/>
      </w:rPr>
      <w:t xml:space="preserve">	Module 3 — Host Discovery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04671db84d228243a6e9f3759fa9488932889d.png"/><Relationship Id="rId10" Type="http://schemas.openxmlformats.org/officeDocument/2006/relationships/image" Target="media/24a715590f876fce8cb822e1692c164de40d6b05.png"/><Relationship Id="rId11" Type="http://schemas.openxmlformats.org/officeDocument/2006/relationships/image" Target="media/e4f932e7c830aa26f99609e09ceecf0ba8fb7818.png"/><Relationship Id="rId12" Type="http://schemas.openxmlformats.org/officeDocument/2006/relationships/image" Target="media/bccc4c07e9ec375db2a14e7f3f013d72249bd2f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2026-09-14T02:52:13.787Z</dcterms:created>
  <dcterms:modified xsi:type="dcterms:W3CDTF">2026-09-14T02:52:13.788Z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