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jc w:val="center"/>
      </w:pPr>
      <w:r>
        <w:rPr>
          <w:b/>
          <w:bCs/>
          <w:color w:val="0E7C86"/>
          <w:spacing w:val="20"/>
          <w:sz w:val="22"/>
          <w:szCs w:val="22"/>
        </w:rPr>
        <w:t xml:space="preserve">CYBERSECURITY TOOLS  ·  WEEKLY LEARNING TRACK</w:t>
      </w:r>
    </w:p>
    <w:p>
      <w:pPr>
        <w:spacing w:after="60"/>
        <w:jc w:val="center"/>
      </w:pPr>
      <w:r>
        <w:rPr>
          <w:b/>
          <w:bCs/>
          <w:color w:val="0B1F3A"/>
          <w:sz w:val="60"/>
          <w:szCs w:val="60"/>
        </w:rPr>
        <w:t xml:space="preserve">Nmap Reference Documentation</w:t>
      </w:r>
    </w:p>
    <w:p>
      <w:pPr>
        <w:spacing w:after="500"/>
        <w:jc w:val="center"/>
      </w:pPr>
      <w:r>
        <w:rPr>
          <w:color w:val="5B6472"/>
          <w:sz w:val="30"/>
          <w:szCs w:val="30"/>
        </w:rPr>
        <w:t xml:space="preserve">Module 5 — Service, Version &amp; OS Detection</w:t>
      </w:r>
    </w:p>
    <w:p>
      <w:pPr>
        <w:pBdr>
          <w:top w:val="single" w:color="0E7C86" w:sz="6" w:space="10"/>
        </w:pBdr>
        <w:spacing w:after="300"/>
        <w:jc w:val="center"/>
      </w:pPr>
      <w:r>
        <w:rPr>
          <w:sz w:val="4"/>
          <w:szCs w:val="4"/>
        </w:rPr>
        <w:t xml:space="preserve"> </w:t>
      </w:r>
    </w:p>
    <w:p>
      <w:pPr>
        <w:spacing w:after="60"/>
        <w:jc w:val="center"/>
      </w:pPr>
      <w:r>
        <w:rPr>
          <w:b/>
          <w:bCs/>
          <w:color w:val="1A1A1A"/>
          <w:sz w:val="24"/>
          <w:szCs w:val="24"/>
        </w:rPr>
        <w:t xml:space="preserve">Prepared by Emmanuel Aidoo</w:t>
      </w:r>
    </w:p>
    <w:p>
      <w:pPr>
        <w:spacing w:after="0"/>
        <w:jc w:val="center"/>
      </w:pPr>
      <w:r>
        <w:rPr>
          <w:color w:val="5B6472"/>
          <w:sz w:val="20"/>
          <w:szCs w:val="20"/>
        </w:rPr>
        <w:t xml:space="preserve">Kali Linux · Nmap 7.98</w:t>
      </w:r>
    </w:p>
    <w:p>
      <w:pPr>
        <w:spacing w:before="40"/>
        <w:jc w:val="center"/>
      </w:pPr>
      <w:r>
        <w:rPr>
          <w:color w:val="5B6472"/>
          <w:sz w:val="20"/>
          <w:szCs w:val="20"/>
        </w:rPr>
        <w:t xml:space="preserve">September 20, 2026</w:t>
      </w:r>
    </w:p>
    <w:p>
      <w:r>
        <w:br w:type="page"/>
      </w:r>
    </w:p>
    <w:p>
      <w:pPr>
        <w:sectPr>
          <w:pgSz w:w="12240" w:h="15840" w:orient="portrait"/>
          <w:pgMar w:top="1350" w:right="1150" w:bottom="1250" w:left="1150" w:header="708" w:footer="708" w:gutter="0"/>
          <w:pgNumType/>
          <w:docGrid w:linePitch="360"/>
        </w:sectPr>
      </w:pPr>
    </w:p>
    <w:p>
      <w:pPr>
        <w:spacing w:after="320"/>
      </w:pPr>
      <w:r>
        <w:rPr>
          <w:b/>
          <w:bCs/>
          <w:color w:val="0B1F3A"/>
          <w:sz w:val="36"/>
          <w:szCs w:val="36"/>
        </w:rPr>
        <w:t xml:space="preserve">Contents</w:t>
      </w:r>
    </w:p>
    <w:p>
      <w:pPr>
        <w:tabs>
          <w:tab w:val="right" w:pos="9350" w:leader="dot"/>
        </w:tabs>
        <w:spacing w:after="220"/>
      </w:pPr>
      <w:r>
        <w:rPr>
          <w:b/>
          <w:bCs/>
          <w:color w:val="0E7C86"/>
          <w:sz w:val="24"/>
          <w:szCs w:val="24"/>
        </w:rPr>
        <w:t xml:space="preserve">1   </w:t>
      </w:r>
      <w:r>
        <w:rPr>
          <w:color w:val="1A1A1A"/>
          <w:sz w:val="24"/>
          <w:szCs w:val="24"/>
        </w:rPr>
        <w:t xml:space="preserve">Service &amp; Version Detection (-sV)	3</w:t>
      </w:r>
    </w:p>
    <w:p>
      <w:pPr>
        <w:tabs>
          <w:tab w:val="right" w:pos="9350" w:leader="dot"/>
        </w:tabs>
        <w:spacing w:after="220"/>
      </w:pPr>
      <w:r>
        <w:rPr>
          <w:b/>
          <w:bCs/>
          <w:color w:val="0E7C86"/>
          <w:sz w:val="24"/>
          <w:szCs w:val="24"/>
        </w:rPr>
        <w:t xml:space="preserve">2   </w:t>
      </w:r>
      <w:r>
        <w:rPr>
          <w:color w:val="1A1A1A"/>
          <w:sz w:val="24"/>
          <w:szCs w:val="24"/>
        </w:rPr>
        <w:t xml:space="preserve">Tuning Detection Depth (--version-intensity)	4</w:t>
      </w:r>
    </w:p>
    <w:p>
      <w:pPr>
        <w:tabs>
          <w:tab w:val="right" w:pos="9350" w:leader="dot"/>
        </w:tabs>
        <w:spacing w:after="220"/>
      </w:pPr>
      <w:r>
        <w:rPr>
          <w:b/>
          <w:bCs/>
          <w:color w:val="0E7C86"/>
          <w:sz w:val="24"/>
          <w:szCs w:val="24"/>
        </w:rPr>
        <w:t xml:space="preserve">3   </w:t>
      </w:r>
      <w:r>
        <w:rPr>
          <w:color w:val="1A1A1A"/>
          <w:sz w:val="24"/>
          <w:szCs w:val="24"/>
        </w:rPr>
        <w:t xml:space="preserve">Aggressive Scan &amp; OS Detection (-A)	5</w:t>
      </w:r>
    </w:p>
    <w:p>
      <w:pPr>
        <w:tabs>
          <w:tab w:val="right" w:pos="9350" w:leader="dot"/>
        </w:tabs>
        <w:spacing w:after="220"/>
      </w:pPr>
      <w:r>
        <w:rPr>
          <w:b/>
          <w:bCs/>
          <w:color w:val="0E7C86"/>
          <w:sz w:val="24"/>
          <w:szCs w:val="24"/>
        </w:rPr>
        <w:t xml:space="preserve">4   </w:t>
      </w:r>
      <w:r>
        <w:rPr>
          <w:color w:val="1A1A1A"/>
          <w:sz w:val="24"/>
          <w:szCs w:val="24"/>
        </w:rPr>
        <w:t xml:space="preserve">Key Takeaways	6</w:t>
      </w:r>
    </w:p>
    <w:p>
      <w:r>
        <w:br w:type="page"/>
      </w:r>
    </w:p>
    <w:p>
      <w:pPr>
        <w:sectPr>
          <w:pgSz w:w="12240" w:h="15840" w:orient="portrait"/>
          <w:pgMar w:top="1350" w:right="1150" w:bottom="1250" w:left="1150" w:header="708" w:footer="708" w:gutter="0"/>
          <w:pgNumType/>
          <w:docGrid w:linePitch="360"/>
        </w:sectPr>
      </w:pPr>
    </w:p>
    <w:p>
      <w:pPr>
        <w:spacing w:after="160" w:line="300"/>
        <w:jc w:val="both"/>
      </w:pPr>
      <w:r>
        <w:rPr>
          <w:i/>
          <w:iCs/>
          <w:color w:val="5B6472"/>
          <w:sz w:val="22"/>
          <w:szCs w:val="22"/>
        </w:rPr>
        <w:t xml:space="preserve">Objective: move beyond port states into what's actually running behind them, tuning how hard Nmap tries to identify it.</w:t>
      </w:r>
    </w:p>
    <w:p>
      <w:pPr>
        <w:spacing w:after="160" w:line="300"/>
        <w:jc w:val="both"/>
      </w:pPr>
      <w:r>
        <w:rPr>
          <w:i/>
          <w:iCs/>
          <w:color w:val="5B6472"/>
          <w:sz w:val="22"/>
          <w:szCs w:val="22"/>
        </w:rPr>
        <w:t xml:space="preserve">Topic: service and version detection (-sV), tuning detection depth with --version-intensity, and the -A aggressive scan that bundles version detection, OS fingerprinting, default scripts, and a traceroute into one pass.</w:t>
      </w:r>
    </w:p>
    <w:p>
      <w:pPr>
        <w:pStyle w:val="Heading1"/>
        <w:pBdr>
          <w:bottom w:val="single" w:color="0E7C86" w:sz="8" w:space="6"/>
        </w:pBdr>
        <w:spacing w:after="200" w:before="480"/>
      </w:pPr>
      <w:r>
        <w:rPr>
          <w:b/>
          <w:bCs/>
          <w:color w:val="0E7C86"/>
          <w:sz w:val="30"/>
          <w:szCs w:val="30"/>
        </w:rPr>
        <w:t xml:space="preserve">1  </w:t>
      </w:r>
      <w:r>
        <w:rPr>
          <w:b/>
          <w:bCs/>
          <w:color w:val="0B1F3A"/>
          <w:sz w:val="30"/>
          <w:szCs w:val="30"/>
        </w:rPr>
        <w:t xml:space="preserve">Service &amp; Version Detection (-sV)</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-sV 10.0.2.15</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-sV 173.230.138.70</w:t>
            </w:r>
          </w:p>
        </w:tc>
      </w:tr>
    </w:tbl>
    <w:p>
      <w:pPr>
        <w:spacing w:after="100" w:before="60"/>
      </w:pPr>
      <w:r>
        <w:rPr>
          <w:b/>
          <w:bCs/>
          <w:color w:val="0B1F3A"/>
          <w:sz w:val="20"/>
          <w:szCs w:val="20"/>
        </w:rPr>
        <w:t xml:space="preserve">What I learned</w:t>
      </w:r>
    </w:p>
    <w:p>
      <w:pPr>
        <w:spacing w:after="160" w:line="300"/>
        <w:jc w:val="both"/>
      </w:pPr>
      <w:r>
        <w:rPr>
          <w:color w:val="1A1A1A"/>
          <w:sz w:val="22"/>
          <w:szCs w:val="22"/>
        </w:rPr>
        <w:t xml:space="preserve">-sV goes a step past a plain SYN scan: for every open port, Nmap tries to actively identify the exact service and version running — not just guess from the port number, but actually probe it and match the response against its service-fingerprint database.</w:t>
      </w:r>
    </w:p>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1  ·  </w:t>
      </w:r>
      <w:r>
        <w:rPr>
          <w:i/>
          <w:iCs/>
          <w:color w:val="5B6472"/>
          <w:sz w:val="18"/>
          <w:szCs w:val="18"/>
        </w:rPr>
        <w:t xml:space="preserve">Version detection run against the lab Kali box and the Linode-hosted target</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000"/>
        <w:gridCol w:w="3200"/>
        <w:gridCol w:w="3900"/>
      </w:tblGrid>
      <w:tr>
        <w:trPr>
          <w:tblHeader/>
        </w:trPr>
        <w:tc>
          <w:tcPr>
            <w:tcW w:type="dxa" w:w="2000"/>
            <w:shd w:fill="0B1F3A" w:val="clear"/>
            <w:tcMar>
              <w:top w:type="dxa" w:w="100"/>
              <w:left w:type="dxa" w:w="140"/>
              <w:bottom w:type="dxa" w:w="100"/>
              <w:right w:type="dxa" w:w="140"/>
            </w:tcMar>
            <w:vAlign w:val="center"/>
          </w:tcPr>
          <w:p>
            <w:r>
              <w:rPr>
                <w:b/>
                <w:bCs/>
                <w:color w:val="FFFFFF"/>
                <w:sz w:val="20"/>
                <w:szCs w:val="20"/>
              </w:rPr>
              <w:t xml:space="preserve">Target</w:t>
            </w:r>
          </w:p>
        </w:tc>
        <w:tc>
          <w:tcPr>
            <w:tcW w:type="dxa" w:w="3200"/>
            <w:shd w:fill="0B1F3A" w:val="clear"/>
            <w:tcMar>
              <w:top w:type="dxa" w:w="100"/>
              <w:left w:type="dxa" w:w="140"/>
              <w:bottom w:type="dxa" w:w="100"/>
              <w:right w:type="dxa" w:w="140"/>
            </w:tcMar>
            <w:vAlign w:val="center"/>
          </w:tcPr>
          <w:p>
            <w:r>
              <w:rPr>
                <w:b/>
                <w:bCs/>
                <w:color w:val="FFFFFF"/>
                <w:sz w:val="20"/>
                <w:szCs w:val="20"/>
              </w:rPr>
              <w:t xml:space="preserve">Result</w:t>
            </w:r>
          </w:p>
        </w:tc>
        <w:tc>
          <w:tcPr>
            <w:tcW w:type="dxa" w:w="3900"/>
            <w:shd w:fill="0B1F3A" w:val="clear"/>
            <w:tcMar>
              <w:top w:type="dxa" w:w="100"/>
              <w:left w:type="dxa" w:w="140"/>
              <w:bottom w:type="dxa" w:w="100"/>
              <w:right w:type="dxa" w:w="140"/>
            </w:tcMar>
            <w:vAlign w:val="center"/>
          </w:tcPr>
          <w:p>
            <w:r>
              <w:rPr>
                <w:b/>
                <w:bCs/>
                <w:color w:val="FFFFFF"/>
                <w:sz w:val="20"/>
                <w:szCs w:val="20"/>
              </w:rPr>
              <w:t xml:space="preserve">Notes</w:t>
            </w:r>
          </w:p>
        </w:tc>
      </w:tr>
      <w:tr>
        <w:trPr>
          <w:cantSplit/>
        </w:trPr>
        <w:tc>
          <w:tcPr>
            <w:tcW w:type="dxa" w:w="2000"/>
            <w:tcMar>
              <w:top w:type="dxa" w:w="90"/>
              <w:left w:type="dxa" w:w="140"/>
              <w:bottom w:type="dxa" w:w="90"/>
              <w:right w:type="dxa" w:w="140"/>
            </w:tcMar>
            <w:vAlign w:val="center"/>
          </w:tcPr>
          <w:p>
            <w:r>
              <w:rPr>
                <w:color w:val="1A1A1A"/>
                <w:sz w:val="20"/>
                <w:szCs w:val="20"/>
              </w:rPr>
              <w:t xml:space="preserve">10.0.2.15</w:t>
            </w:r>
          </w:p>
        </w:tc>
        <w:tc>
          <w:tcPr>
            <w:tcW w:type="dxa" w:w="3200"/>
            <w:tcMar>
              <w:top w:type="dxa" w:w="90"/>
              <w:left w:type="dxa" w:w="140"/>
              <w:bottom w:type="dxa" w:w="90"/>
              <w:right w:type="dxa" w:w="140"/>
            </w:tcMar>
            <w:vAlign w:val="center"/>
          </w:tcPr>
          <w:p>
            <w:r>
              <w:rPr>
                <w:color w:val="1A1A1A"/>
                <w:sz w:val="20"/>
                <w:szCs w:val="20"/>
              </w:rPr>
              <w:t xml:space="preserve">All 1000 ports filtered, none open</w:t>
            </w:r>
          </w:p>
        </w:tc>
        <w:tc>
          <w:tcPr>
            <w:tcW w:type="dxa" w:w="3900"/>
            <w:tcMar>
              <w:top w:type="dxa" w:w="90"/>
              <w:left w:type="dxa" w:w="140"/>
              <w:bottom w:type="dxa" w:w="90"/>
              <w:right w:type="dxa" w:w="140"/>
            </w:tcMar>
            <w:vAlign w:val="center"/>
          </w:tcPr>
          <w:p>
            <w:r>
              <w:rPr>
                <w:color w:val="1A1A1A"/>
                <w:sz w:val="20"/>
                <w:szCs w:val="20"/>
              </w:rPr>
              <w:t xml:space="preserve">Scanning the Kali box's own external-facing address returned nothing but silence — took 205.37 seconds, since version detection retries filtered ports more patiently than a plain SYN scan does</w:t>
            </w:r>
          </w:p>
        </w:tc>
      </w:tr>
      <w:tr>
        <w:trPr>
          <w:cantSplit/>
        </w:trPr>
        <w:tc>
          <w:tcPr>
            <w:tcW w:type="dxa" w:w="2000"/>
            <w:shd w:fill="EAF2F2" w:val="clear"/>
            <w:tcMar>
              <w:top w:type="dxa" w:w="90"/>
              <w:left w:type="dxa" w:w="140"/>
              <w:bottom w:type="dxa" w:w="90"/>
              <w:right w:type="dxa" w:w="140"/>
            </w:tcMar>
            <w:vAlign w:val="center"/>
          </w:tcPr>
          <w:p>
            <w:r>
              <w:rPr>
                <w:color w:val="1A1A1A"/>
                <w:sz w:val="20"/>
                <w:szCs w:val="20"/>
              </w:rPr>
              <w:t xml:space="preserve">173.230.138.70</w:t>
            </w:r>
          </w:p>
        </w:tc>
        <w:tc>
          <w:tcPr>
            <w:tcW w:type="dxa" w:w="3200"/>
            <w:shd w:fill="EAF2F2" w:val="clear"/>
            <w:tcMar>
              <w:top w:type="dxa" w:w="90"/>
              <w:left w:type="dxa" w:w="140"/>
              <w:bottom w:type="dxa" w:w="90"/>
              <w:right w:type="dxa" w:w="140"/>
            </w:tcMar>
            <w:vAlign w:val="center"/>
          </w:tcPr>
          <w:p>
            <w:r>
              <w:rPr>
                <w:color w:val="1A1A1A"/>
                <w:sz w:val="20"/>
                <w:szCs w:val="20"/>
              </w:rPr>
              <w:t xml:space="preserve">22, 80, 587 open; 53, 443, 3306 closed</w:t>
            </w:r>
          </w:p>
        </w:tc>
        <w:tc>
          <w:tcPr>
            <w:tcW w:type="dxa" w:w="3900"/>
            <w:shd w:fill="EAF2F2" w:val="clear"/>
            <w:tcMar>
              <w:top w:type="dxa" w:w="90"/>
              <w:left w:type="dxa" w:w="140"/>
              <w:bottom w:type="dxa" w:w="90"/>
              <w:right w:type="dxa" w:w="140"/>
            </w:tcMar>
            <w:vAlign w:val="center"/>
          </w:tcPr>
          <w:p>
            <w:r>
              <w:rPr>
                <w:color w:val="1A1A1A"/>
                <w:sz w:val="20"/>
                <w:szCs w:val="20"/>
              </w:rPr>
              <w:t xml:space="preserve">Every open port reported VERSION as tcpwrapped instead of a real service name — completed in 40.77 seconds</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My observation</w:t>
            </w:r>
          </w:p>
          <w:p>
            <w:pPr>
              <w:spacing w:after="0"/>
            </w:pPr>
            <w:r>
              <w:rPr>
                <w:color w:val="1A1A1A"/>
                <w:sz w:val="21"/>
                <w:szCs w:val="21"/>
              </w:rPr>
              <w:t xml:space="preserve">“Tcpwrapped” isn't a service name — it's Nmap's way of saying the port accepted a connection but then closed it without sending any data back, a pattern historically associated with the TCP Wrappers access-control library. In practice it usually just means something between the scanner and the service (a firewall, rate-limiter, or the app itself) is refusing to hand over a banner to an unrecognized client, not that nothing is running there.</w:t>
            </w:r>
          </w:p>
        </w:tc>
      </w:tr>
    </w:tbl>
    <w:p>
      <w:pPr>
        <w:pStyle w:val="Heading1"/>
        <w:pBdr>
          <w:bottom w:val="single" w:color="0E7C86" w:sz="8" w:space="6"/>
        </w:pBdr>
        <w:spacing w:after="200" w:before="480"/>
      </w:pPr>
      <w:r>
        <w:rPr>
          <w:b/>
          <w:bCs/>
          <w:color w:val="0E7C86"/>
          <w:sz w:val="30"/>
          <w:szCs w:val="30"/>
        </w:rPr>
        <w:t xml:space="preserve">2  </w:t>
      </w:r>
      <w:r>
        <w:rPr>
          <w:b/>
          <w:bCs/>
          <w:color w:val="0B1F3A"/>
          <w:sz w:val="30"/>
          <w:szCs w:val="30"/>
        </w:rPr>
        <w:t xml:space="preserve">Tuning Detection Depth (--version-intensity)</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sudo nmap -sV --version-intensity 173.230.138.70</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sudo nmap -sV --version-intensity 9 173.230.138.70</w:t>
            </w:r>
          </w:p>
        </w:tc>
      </w:tr>
    </w:tbl>
    <w:p>
      <w:pPr>
        <w:spacing w:after="100" w:before="60"/>
      </w:pPr>
      <w:r>
        <w:rPr>
          <w:b/>
          <w:bCs/>
          <w:color w:val="0B1F3A"/>
          <w:sz w:val="20"/>
          <w:szCs w:val="20"/>
        </w:rPr>
        <w:t xml:space="preserve">What I learned</w:t>
      </w:r>
    </w:p>
    <w:p>
      <w:pPr>
        <w:spacing w:after="160" w:line="300"/>
        <w:jc w:val="both"/>
      </w:pPr>
      <w:r>
        <w:rPr>
          <w:color w:val="1A1A1A"/>
          <w:sz w:val="22"/>
          <w:szCs w:val="22"/>
        </w:rPr>
        <w:t xml:space="preserve">--version-intensity controls how many version-probe attempts Nmap makes per port, on a scale of 0 (lightest) to 9 (every probe in the database, slowest). It takes a required numeric argument — leaving it out is a syntax error, not a request for the default.</w:t>
      </w:r>
    </w:p>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2  ·  </w:t>
      </w:r>
      <w:r>
        <w:rPr>
          <w:i/>
          <w:iCs/>
          <w:color w:val="5B6472"/>
          <w:sz w:val="18"/>
          <w:szCs w:val="18"/>
        </w:rPr>
        <w:t xml:space="preserve">A missing intensity value fails fast, then intensity 9 runs to completion</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4200"/>
        <w:gridCol w:w="4900"/>
      </w:tblGrid>
      <w:tr>
        <w:trPr>
          <w:tblHeader/>
        </w:trPr>
        <w:tc>
          <w:tcPr>
            <w:tcW w:type="dxa" w:w="4200"/>
            <w:shd w:fill="0B1F3A" w:val="clear"/>
            <w:tcMar>
              <w:top w:type="dxa" w:w="100"/>
              <w:left w:type="dxa" w:w="140"/>
              <w:bottom w:type="dxa" w:w="100"/>
              <w:right w:type="dxa" w:w="140"/>
            </w:tcMar>
            <w:vAlign w:val="center"/>
          </w:tcPr>
          <w:p>
            <w:r>
              <w:rPr>
                <w:b/>
                <w:bCs/>
                <w:color w:val="FFFFFF"/>
                <w:sz w:val="20"/>
                <w:szCs w:val="20"/>
              </w:rPr>
              <w:t xml:space="preserve">Attempt</w:t>
            </w:r>
          </w:p>
        </w:tc>
        <w:tc>
          <w:tcPr>
            <w:tcW w:type="dxa" w:w="4900"/>
            <w:shd w:fill="0B1F3A" w:val="clear"/>
            <w:tcMar>
              <w:top w:type="dxa" w:w="100"/>
              <w:left w:type="dxa" w:w="140"/>
              <w:bottom w:type="dxa" w:w="100"/>
              <w:right w:type="dxa" w:w="140"/>
            </w:tcMar>
            <w:vAlign w:val="center"/>
          </w:tcPr>
          <w:p>
            <w:r>
              <w:rPr>
                <w:b/>
                <w:bCs/>
                <w:color w:val="FFFFFF"/>
                <w:sz w:val="20"/>
                <w:szCs w:val="20"/>
              </w:rPr>
              <w:t xml:space="preserve">Outcome</w:t>
            </w:r>
          </w:p>
        </w:tc>
      </w:tr>
      <w:tr>
        <w:trPr>
          <w:cantSplit/>
        </w:trPr>
        <w:tc>
          <w:tcPr>
            <w:tcW w:type="dxa" w:w="4200"/>
            <w:tcMar>
              <w:top w:type="dxa" w:w="90"/>
              <w:left w:type="dxa" w:w="140"/>
              <w:bottom w:type="dxa" w:w="90"/>
              <w:right w:type="dxa" w:w="140"/>
            </w:tcMar>
            <w:vAlign w:val="center"/>
          </w:tcPr>
          <w:p>
            <w:r>
              <w:rPr>
                <w:color w:val="1A1A1A"/>
                <w:sz w:val="20"/>
                <w:szCs w:val="20"/>
              </w:rPr>
              <w:t xml:space="preserve">--version-intensity 173.230.138.70</w:t>
            </w:r>
          </w:p>
        </w:tc>
        <w:tc>
          <w:tcPr>
            <w:tcW w:type="dxa" w:w="4900"/>
            <w:tcMar>
              <w:top w:type="dxa" w:w="90"/>
              <w:left w:type="dxa" w:w="140"/>
              <w:bottom w:type="dxa" w:w="90"/>
              <w:right w:type="dxa" w:w="140"/>
            </w:tcMar>
            <w:vAlign w:val="center"/>
          </w:tcPr>
          <w:p>
            <w:r>
              <w:rPr>
                <w:color w:val="1A1A1A"/>
                <w:sz w:val="20"/>
                <w:szCs w:val="20"/>
              </w:rPr>
              <w:t xml:space="preserve">Nmap read “173.230.138.70” as the intensity value, rejected it (“version-intensity must be between 0 and 9”), and quit before scanning anything</w:t>
            </w:r>
          </w:p>
        </w:tc>
      </w:tr>
      <w:tr>
        <w:trPr>
          <w:cantSplit/>
        </w:trPr>
        <w:tc>
          <w:tcPr>
            <w:tcW w:type="dxa" w:w="4200"/>
            <w:shd w:fill="EAF2F2" w:val="clear"/>
            <w:tcMar>
              <w:top w:type="dxa" w:w="90"/>
              <w:left w:type="dxa" w:w="140"/>
              <w:bottom w:type="dxa" w:w="90"/>
              <w:right w:type="dxa" w:w="140"/>
            </w:tcMar>
            <w:vAlign w:val="center"/>
          </w:tcPr>
          <w:p>
            <w:r>
              <w:rPr>
                <w:color w:val="1A1A1A"/>
                <w:sz w:val="20"/>
                <w:szCs w:val="20"/>
              </w:rPr>
              <w:t xml:space="preserve">--version-intensity 9 173.230.138.70</w:t>
            </w:r>
          </w:p>
        </w:tc>
        <w:tc>
          <w:tcPr>
            <w:tcW w:type="dxa" w:w="4900"/>
            <w:shd w:fill="EAF2F2" w:val="clear"/>
            <w:tcMar>
              <w:top w:type="dxa" w:w="90"/>
              <w:left w:type="dxa" w:w="140"/>
              <w:bottom w:type="dxa" w:w="90"/>
              <w:right w:type="dxa" w:w="140"/>
            </w:tcMar>
            <w:vAlign w:val="center"/>
          </w:tcPr>
          <w:p>
            <w:r>
              <w:rPr>
                <w:color w:val="1A1A1A"/>
                <w:sz w:val="20"/>
                <w:szCs w:val="20"/>
              </w:rPr>
              <w:t xml:space="preserve">Valid syntax — ran the most thorough version probe set available, in 45.46 seconds</w:t>
            </w:r>
          </w:p>
        </w:tc>
      </w:tr>
    </w:tbl>
    <w:p>
      <w:pPr>
        <w:spacing w:after="0" w:before="200"/>
      </w:pPr>
    </w:p>
    <w:tbl>
      <w:tblPr>
        <w:tblW w:type="pct" w:w="100%"/>
        <w:tblBorders>
          <w:top w:val="single" w:color="D8DEE4" w:sz="2"/>
          <w:left w:val="single" w:color="C97A2C"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My observation</w:t>
            </w:r>
          </w:p>
          <w:p>
            <w:pPr>
              <w:spacing w:after="0"/>
            </w:pPr>
            <w:r>
              <w:rPr>
                <w:color w:val="1A1A1A"/>
                <w:sz w:val="21"/>
                <w:szCs w:val="21"/>
              </w:rPr>
              <w:t xml:space="preserve">Even at intensity 9 — Nmap's most exhaustive version-probing setting — ports 22, 80, and 587 still came back tcpwrapped, with identical results to the plain -sV scan in Section 1. This confirms the earlier read: the ambiguity here isn't Nmap giving up early, it's the target actively withholding banners regardless of how many probes are thrown at it.</w:t>
            </w:r>
          </w:p>
        </w:tc>
      </w:tr>
    </w:tbl>
    <w:p>
      <w:pPr>
        <w:pStyle w:val="Heading1"/>
        <w:pBdr>
          <w:bottom w:val="single" w:color="0E7C86" w:sz="8" w:space="6"/>
        </w:pBdr>
        <w:spacing w:after="200" w:before="480"/>
      </w:pPr>
      <w:r>
        <w:rPr>
          <w:b/>
          <w:bCs/>
          <w:color w:val="0E7C86"/>
          <w:sz w:val="30"/>
          <w:szCs w:val="30"/>
        </w:rPr>
        <w:t xml:space="preserve">3  </w:t>
      </w:r>
      <w:r>
        <w:rPr>
          <w:b/>
          <w:bCs/>
          <w:color w:val="0B1F3A"/>
          <w:sz w:val="30"/>
          <w:szCs w:val="30"/>
        </w:rPr>
        <w:t xml:space="preserve">Aggressive Scan &amp; OS Detection (-A)</w:t>
      </w:r>
    </w:p>
    <w:tbl>
      <w:tblPr>
        <w:tblW w:type="pct" w:w="100%"/>
        <w:tblBorders>
          <w:top w:val="single" w:color="0D1117" w:sz="2"/>
          <w:left w:val="single" w:color="0D1117" w:sz="2"/>
          <w:bottom w:val="single" w:color="0D1117" w:sz="2"/>
          <w:right w:val="single" w:color="0D1117" w:sz="2"/>
          <w:insideH w:val="none" w:color="FFFFFF" w:sz="0"/>
          <w:insideV w:val="none" w:color="FFFFFF" w:sz="0"/>
        </w:tblBorders>
      </w:tblPr>
      <w:tblGrid>
        <w:gridCol w:w="100"/>
      </w:tblGrid>
      <w:tr>
        <w:trPr>
          <w:cantSplit/>
        </w:trPr>
        <w:tc>
          <w:tcPr>
            <w:shd w:fill="0D1117" w:val="clear"/>
            <w:tcMar>
              <w:top w:type="dxa" w:w="140"/>
              <w:left w:type="dxa" w:w="200"/>
              <w:bottom w:type="dxa" w:w="160"/>
              <w:right w:type="dxa" w:w="200"/>
            </w:tcMar>
          </w:tcPr>
          <w:p>
            <w:pPr>
              <w:spacing w:after="0"/>
            </w:pPr>
            <w:r>
              <w:rPr>
                <w:color w:val="FF5F56"/>
                <w:sz w:val="18"/>
                <w:szCs w:val="18"/>
              </w:rPr>
              <w:t xml:space="preserve">●  </w:t>
            </w:r>
            <w:r>
              <w:rPr>
                <w:color w:val="FFBD2E"/>
                <w:sz w:val="18"/>
                <w:szCs w:val="18"/>
              </w:rPr>
              <w:t xml:space="preserve">●  </w:t>
            </w:r>
            <w:r>
              <w:rPr>
                <w:color w:val="27C93F"/>
                <w:sz w:val="18"/>
                <w:szCs w:val="18"/>
              </w:rPr>
              <w:t xml:space="preserve">●  </w:t>
            </w:r>
          </w:p>
          <w:p>
            <w:pPr>
              <w:spacing w:after="0" w:before="100"/>
            </w:pPr>
            <w:r>
              <w:rPr>
                <w:rFonts w:ascii="Consolas" w:cs="Consolas" w:eastAsia="Consolas" w:hAnsi="Consolas"/>
                <w:b/>
                <w:bCs/>
                <w:color w:val="58A6FF"/>
                <w:sz w:val="20"/>
                <w:szCs w:val="20"/>
              </w:rPr>
              <w:t xml:space="preserve">$ </w:t>
            </w:r>
            <w:r>
              <w:rPr>
                <w:rFonts w:ascii="Consolas" w:cs="Consolas" w:eastAsia="Consolas" w:hAnsi="Consolas"/>
                <w:color w:val="C9D1D9"/>
                <w:sz w:val="20"/>
                <w:szCs w:val="20"/>
              </w:rPr>
              <w:t xml:space="preserve">nmap -A 173.230.138.70</w:t>
            </w:r>
          </w:p>
        </w:tc>
      </w:tr>
    </w:tbl>
    <w:p>
      <w:pPr>
        <w:spacing w:after="100" w:before="60"/>
      </w:pPr>
      <w:r>
        <w:rPr>
          <w:b/>
          <w:bCs/>
          <w:color w:val="0B1F3A"/>
          <w:sz w:val="20"/>
          <w:szCs w:val="20"/>
        </w:rPr>
        <w:t xml:space="preserve">What I learned</w:t>
      </w:r>
    </w:p>
    <w:p>
      <w:pPr>
        <w:spacing w:after="160" w:line="300"/>
        <w:jc w:val="both"/>
      </w:pPr>
      <w:r>
        <w:rPr>
          <w:color w:val="1A1A1A"/>
          <w:sz w:val="22"/>
          <w:szCs w:val="22"/>
        </w:rPr>
        <w:t xml:space="preserve">-A is a shortcut that enables several detection features in one flag: OS fingerprinting (-O), version detection (-sV), default NSE script scanning (-sC), and a traceroute — turning one command into a full reconnaissance pass.</w:t>
      </w:r>
    </w:p>
    <w:p>
      <w:pPr>
        <w:pBdr>
          <w:top w:val="single" w:color="D0D7DE" w:sz="4" w:space="6"/>
          <w:bottom w:val="single" w:color="D0D7DE" w:sz="4" w:space="6"/>
          <w:left w:val="single" w:color="D0D7DE" w:sz="4" w:space="6"/>
          <w:right w:val="single" w:color="D0D7DE" w:sz="4" w:space="6"/>
        </w:pBdr>
        <w:spacing w:after="80" w:before="220"/>
        <w:jc w:val="center"/>
      </w:pPr>
      <w:r>
        <w:drawing>
          <wp:inline distT="0" distB="0" distL="0" distR="0">
            <wp:extent cx="5524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240"/>
        <w:jc w:val="center"/>
      </w:pPr>
      <w:r>
        <w:rPr>
          <w:b/>
          <w:bCs/>
          <w:i/>
          <w:iCs/>
          <w:color w:val="0E7C86"/>
          <w:sz w:val="18"/>
          <w:szCs w:val="18"/>
        </w:rPr>
        <w:t xml:space="preserve">Figure 3  ·  </w:t>
      </w:r>
      <w:r>
        <w:rPr>
          <w:i/>
          <w:iCs/>
          <w:color w:val="5B6472"/>
          <w:sz w:val="18"/>
          <w:szCs w:val="18"/>
        </w:rPr>
        <w:t xml:space="preserve">Aggressive scan combining version detection, default scripts, OS fingerprinting, and traceroute</w:t>
      </w:r>
    </w:p>
    <w:p>
      <w:pPr>
        <w:spacing w:after="100" w:before="60"/>
      </w:pPr>
      <w:r>
        <w:rPr>
          <w:b/>
          <w:bCs/>
          <w:color w:val="0B1F3A"/>
          <w:sz w:val="20"/>
          <w:szCs w:val="20"/>
        </w:rPr>
        <w:t xml:space="preserve">Result summary</w:t>
      </w:r>
    </w:p>
    <w:tbl>
      <w:tblPr>
        <w:tblW w:type="dxa" w:w="9100"/>
        <w:tblBorders>
          <w:top w:val="single" w:color="B9C1CB" w:sz="4"/>
          <w:left w:val="single" w:color="B9C1CB" w:sz="4"/>
          <w:bottom w:val="single" w:color="B9C1CB" w:sz="4"/>
          <w:right w:val="single" w:color="B9C1CB" w:sz="4"/>
          <w:insideH w:val="single" w:color="D8DEE4" w:sz="2"/>
          <w:insideV w:val="single" w:color="D8DEE4" w:sz="2"/>
        </w:tblBorders>
      </w:tblPr>
      <w:tblGrid>
        <w:gridCol w:w="2000"/>
        <w:gridCol w:w="7100"/>
      </w:tblGrid>
      <w:tr>
        <w:trPr>
          <w:tblHeader/>
        </w:trPr>
        <w:tc>
          <w:tcPr>
            <w:tcW w:type="dxa" w:w="2000"/>
            <w:shd w:fill="0B1F3A" w:val="clear"/>
            <w:tcMar>
              <w:top w:type="dxa" w:w="100"/>
              <w:left w:type="dxa" w:w="140"/>
              <w:bottom w:type="dxa" w:w="100"/>
              <w:right w:type="dxa" w:w="140"/>
            </w:tcMar>
            <w:vAlign w:val="center"/>
          </w:tcPr>
          <w:p>
            <w:r>
              <w:rPr>
                <w:b/>
                <w:bCs/>
                <w:color w:val="FFFFFF"/>
                <w:sz w:val="20"/>
                <w:szCs w:val="20"/>
              </w:rPr>
              <w:t xml:space="preserve">Port</w:t>
            </w:r>
          </w:p>
        </w:tc>
        <w:tc>
          <w:tcPr>
            <w:tcW w:type="dxa" w:w="7100"/>
            <w:shd w:fill="0B1F3A" w:val="clear"/>
            <w:tcMar>
              <w:top w:type="dxa" w:w="100"/>
              <w:left w:type="dxa" w:w="140"/>
              <w:bottom w:type="dxa" w:w="100"/>
              <w:right w:type="dxa" w:w="140"/>
            </w:tcMar>
            <w:vAlign w:val="center"/>
          </w:tcPr>
          <w:p>
            <w:r>
              <w:rPr>
                <w:b/>
                <w:bCs/>
                <w:color w:val="FFFFFF"/>
                <w:sz w:val="20"/>
                <w:szCs w:val="20"/>
              </w:rPr>
              <w:t xml:space="preserve">Script output</w:t>
            </w:r>
          </w:p>
        </w:tc>
      </w:tr>
      <w:tr>
        <w:trPr>
          <w:cantSplit/>
        </w:trPr>
        <w:tc>
          <w:tcPr>
            <w:tcW w:type="dxa" w:w="2000"/>
            <w:tcMar>
              <w:top w:type="dxa" w:w="90"/>
              <w:left w:type="dxa" w:w="140"/>
              <w:bottom w:type="dxa" w:w="90"/>
              <w:right w:type="dxa" w:w="140"/>
            </w:tcMar>
            <w:vAlign w:val="center"/>
          </w:tcPr>
          <w:p>
            <w:r>
              <w:rPr>
                <w:color w:val="1A1A1A"/>
                <w:sz w:val="20"/>
                <w:szCs w:val="20"/>
              </w:rPr>
              <w:t xml:space="preserve">22/tcp (tcpwrapped)</w:t>
            </w:r>
          </w:p>
        </w:tc>
        <w:tc>
          <w:tcPr>
            <w:tcW w:type="dxa" w:w="7100"/>
            <w:tcMar>
              <w:top w:type="dxa" w:w="90"/>
              <w:left w:type="dxa" w:w="140"/>
              <w:bottom w:type="dxa" w:w="90"/>
              <w:right w:type="dxa" w:w="140"/>
            </w:tcMar>
            <w:vAlign w:val="center"/>
          </w:tcPr>
          <w:p>
            <w:r>
              <w:rPr>
                <w:color w:val="1A1A1A"/>
                <w:sz w:val="20"/>
                <w:szCs w:val="20"/>
              </w:rPr>
              <w:t xml:space="preserve">ssh-hostkey script failed outright: “Script execution failed (use -d to debug)” — consistent with the port refusing to hand over any banner</w:t>
            </w:r>
          </w:p>
        </w:tc>
      </w:tr>
      <w:tr>
        <w:trPr>
          <w:cantSplit/>
        </w:trPr>
        <w:tc>
          <w:tcPr>
            <w:tcW w:type="dxa" w:w="2000"/>
            <w:shd w:fill="EAF2F2" w:val="clear"/>
            <w:tcMar>
              <w:top w:type="dxa" w:w="90"/>
              <w:left w:type="dxa" w:w="140"/>
              <w:bottom w:type="dxa" w:w="90"/>
              <w:right w:type="dxa" w:w="140"/>
            </w:tcMar>
            <w:vAlign w:val="center"/>
          </w:tcPr>
          <w:p>
            <w:r>
              <w:rPr>
                <w:color w:val="1A1A1A"/>
                <w:sz w:val="20"/>
                <w:szCs w:val="20"/>
              </w:rPr>
              <w:t xml:space="preserve">80/tcp (tcpwrapped)</w:t>
            </w:r>
          </w:p>
        </w:tc>
        <w:tc>
          <w:tcPr>
            <w:tcW w:type="dxa" w:w="7100"/>
            <w:shd w:fill="EAF2F2" w:val="clear"/>
            <w:tcMar>
              <w:top w:type="dxa" w:w="90"/>
              <w:left w:type="dxa" w:w="140"/>
              <w:bottom w:type="dxa" w:w="90"/>
              <w:right w:type="dxa" w:w="140"/>
            </w:tcMar>
            <w:vAlign w:val="center"/>
          </w:tcPr>
          <w:p>
            <w:r>
              <w:rPr>
                <w:color w:val="1A1A1A"/>
                <w:sz w:val="20"/>
                <w:szCs w:val="20"/>
              </w:rPr>
              <w:t xml:space="preserve">http-title and http-server-header scripts still succeeded, identifying the site as “Primetech Ghana | Laptops &amp; Computer Accessories” running on nginx/1.24.0 (Ubuntu)</w:t>
            </w:r>
          </w:p>
        </w:tc>
      </w:tr>
      <w:tr>
        <w:trPr>
          <w:cantSplit/>
        </w:trPr>
        <w:tc>
          <w:tcPr>
            <w:tcW w:type="dxa" w:w="2000"/>
            <w:tcMar>
              <w:top w:type="dxa" w:w="90"/>
              <w:left w:type="dxa" w:w="140"/>
              <w:bottom w:type="dxa" w:w="90"/>
              <w:right w:type="dxa" w:w="140"/>
            </w:tcMar>
            <w:vAlign w:val="center"/>
          </w:tcPr>
          <w:p>
            <w:r>
              <w:rPr>
                <w:color w:val="1A1A1A"/>
                <w:sz w:val="20"/>
                <w:szCs w:val="20"/>
              </w:rPr>
              <w:t xml:space="preserve">587/tcp (tcpwrapped)</w:t>
            </w:r>
          </w:p>
        </w:tc>
        <w:tc>
          <w:tcPr>
            <w:tcW w:type="dxa" w:w="7100"/>
            <w:tcMar>
              <w:top w:type="dxa" w:w="90"/>
              <w:left w:type="dxa" w:w="140"/>
              <w:bottom w:type="dxa" w:w="90"/>
              <w:right w:type="dxa" w:w="140"/>
            </w:tcMar>
            <w:vAlign w:val="center"/>
          </w:tcPr>
          <w:p>
            <w:r>
              <w:rPr>
                <w:color w:val="1A1A1A"/>
                <w:sz w:val="20"/>
                <w:szCs w:val="20"/>
              </w:rPr>
              <w:t xml:space="preserve">smtp-commands script failed: “Couldn't establish connection on port 587”</w:t>
            </w:r>
          </w:p>
        </w:tc>
      </w:tr>
    </w:tbl>
    <w:p>
      <w:pPr>
        <w:spacing w:after="0" w:before="200"/>
      </w:pPr>
    </w:p>
    <w:tbl>
      <w:tblPr>
        <w:tblW w:type="pct" w:w="100%"/>
        <w:tblBorders>
          <w:top w:val="single" w:color="D8DEE4" w:sz="2"/>
          <w:left w:val="single" w:color="0E7C86" w:sz="36"/>
          <w:bottom w:val="single" w:color="D8DEE4" w:sz="2"/>
          <w:right w:val="single" w:color="D8DEE4" w:sz="2"/>
          <w:insideH w:val="none" w:color="FFFFFF" w:sz="0"/>
          <w:insideV w:val="none" w:color="FFFFFF" w:sz="0"/>
        </w:tblBorders>
      </w:tblPr>
      <w:tblGrid>
        <w:gridCol w:w="100"/>
      </w:tblGrid>
      <w:tr>
        <w:trPr>
          <w:cantSplit/>
        </w:trPr>
        <w:tc>
          <w:tcPr>
            <w:shd w:fill="F5F8F8" w:val="clear"/>
            <w:tcMar>
              <w:top w:type="dxa" w:w="160"/>
              <w:left w:type="dxa" w:w="220"/>
              <w:bottom w:type="dxa" w:w="160"/>
              <w:right w:type="dxa" w:w="220"/>
            </w:tcMar>
          </w:tcPr>
          <w:p>
            <w:pPr>
              <w:spacing w:after="60"/>
            </w:pPr>
            <w:r>
              <w:rPr>
                <w:b/>
                <w:bCs/>
                <w:color w:val="0B1F3A"/>
                <w:sz w:val="21"/>
                <w:szCs w:val="21"/>
              </w:rPr>
              <w:t xml:space="preserve">My observation</w:t>
            </w:r>
          </w:p>
          <w:p>
            <w:pPr>
              <w:spacing w:after="0"/>
            </w:pPr>
            <w:r>
              <w:rPr>
                <w:color w:val="1A1A1A"/>
                <w:sz w:val="21"/>
                <w:szCs w:val="21"/>
              </w:rPr>
              <w:t xml:space="preserve">This is the most useful result in the module: even though port 80 was still labeled tcpwrapped in the VERSION column, the http-title script reached straight past that and confirmed the real application — a live Primetech Ghana storefront. The lesson is that a generic port-level label like tcpwrapped only describes the banner-grab step; protocol-aware NSE scripts can still identify what's actually running by talking the target's own application protocol instead of waiting for a banner. OS detection didn't fare as well: Nmap reported “OS fingerprint not ideal because: Didn't receive UDP response. Please try again with -sSU” and found no OS matches at all. The traceroute showed a Network Distance of just 1 hop, with the only hop being the target itself — typical of a routing path where intermediate hops don't respond to traceroute probes, rather than proof the server is on the same local network. The full scan, combining all of this, took 147.68 seconds.</w:t>
            </w:r>
          </w:p>
        </w:tc>
      </w:tr>
    </w:tbl>
    <w:p>
      <w:pPr>
        <w:pStyle w:val="Heading1"/>
        <w:pBdr>
          <w:bottom w:val="single" w:color="0E7C86" w:sz="8" w:space="6"/>
        </w:pBdr>
        <w:spacing w:after="200" w:before="480"/>
      </w:pPr>
      <w:r>
        <w:rPr>
          <w:b/>
          <w:bCs/>
          <w:color w:val="0E7C86"/>
          <w:sz w:val="30"/>
          <w:szCs w:val="30"/>
        </w:rPr>
        <w:t xml:space="preserve">4  </w:t>
      </w:r>
      <w:r>
        <w:rPr>
          <w:b/>
          <w:bCs/>
          <w:color w:val="0B1F3A"/>
          <w:sz w:val="30"/>
          <w:szCs w:val="30"/>
        </w:rPr>
        <w:t xml:space="preserve">Key Takeaways</w:t>
      </w:r>
    </w:p>
    <w:p>
      <w:pPr>
        <w:pStyle w:val="ListParagraph"/>
        <w:numPr>
          <w:ilvl w:val="0"/>
          <w:numId w:val="2"/>
        </w:numPr>
        <w:spacing w:after="100" w:line="280"/>
      </w:pPr>
      <w:r>
        <w:rPr>
          <w:color w:val="1A1A1A"/>
          <w:sz w:val="22"/>
          <w:szCs w:val="22"/>
        </w:rPr>
        <w:t xml:space="preserve">-sV actively probes open ports for real banners instead of guessing from the port number — and it's noticeably slower than a plain SYN scan, especially against ports that don't respond.</w:t>
      </w:r>
    </w:p>
    <w:p>
      <w:pPr>
        <w:pStyle w:val="ListParagraph"/>
        <w:numPr>
          <w:ilvl w:val="0"/>
          <w:numId w:val="2"/>
        </w:numPr>
        <w:spacing w:after="100" w:line="280"/>
      </w:pPr>
      <w:r>
        <w:rPr>
          <w:color w:val="1A1A1A"/>
          <w:sz w:val="22"/>
          <w:szCs w:val="22"/>
        </w:rPr>
        <w:t xml:space="preserve">tcpwrapped means the port completed a TCP handshake but wouldn't hand over an identifiable banner — it is not the same as closed, and doesn't mean nothing is running there.</w:t>
      </w:r>
    </w:p>
    <w:p>
      <w:pPr>
        <w:pStyle w:val="ListParagraph"/>
        <w:numPr>
          <w:ilvl w:val="0"/>
          <w:numId w:val="2"/>
        </w:numPr>
        <w:spacing w:after="100" w:line="280"/>
      </w:pPr>
      <w:r>
        <w:rPr>
          <w:color w:val="1A1A1A"/>
          <w:sz w:val="22"/>
          <w:szCs w:val="22"/>
        </w:rPr>
        <w:t xml:space="preserve">--version-intensity takes a required 0–9 value; a missing argument is a hard syntax error, not a fallback to defaults.</w:t>
      </w:r>
    </w:p>
    <w:p>
      <w:pPr>
        <w:pStyle w:val="ListParagraph"/>
        <w:numPr>
          <w:ilvl w:val="0"/>
          <w:numId w:val="2"/>
        </w:numPr>
        <w:spacing w:after="100" w:line="280"/>
      </w:pPr>
      <w:r>
        <w:rPr>
          <w:color w:val="1A1A1A"/>
          <w:sz w:val="22"/>
          <w:szCs w:val="22"/>
        </w:rPr>
        <w:t xml:space="preserve">Maximum intensity (9) doesn't guarantee a real service name — if the target withholds its banner, more probing attempts won't change that.</w:t>
      </w:r>
    </w:p>
    <w:p>
      <w:pPr>
        <w:pStyle w:val="ListParagraph"/>
        <w:numPr>
          <w:ilvl w:val="0"/>
          <w:numId w:val="2"/>
        </w:numPr>
        <w:spacing w:after="100" w:line="280"/>
      </w:pPr>
      <w:r>
        <w:rPr>
          <w:color w:val="1A1A1A"/>
          <w:sz w:val="22"/>
          <w:szCs w:val="22"/>
        </w:rPr>
        <w:t xml:space="preserve">-A bundles OS detection, version detection, default scripts, and traceroute into one scan — and its NSE scripts can identify a service (like a web server's actual title) even when the raw port scan alone would only report tcpwrapped.</w:t>
      </w:r>
    </w:p>
    <w:p>
      <w:pPr>
        <w:pStyle w:val="ListParagraph"/>
        <w:numPr>
          <w:ilvl w:val="0"/>
          <w:numId w:val="2"/>
        </w:numPr>
        <w:spacing w:after="100" w:line="280"/>
      </w:pPr>
      <w:r>
        <w:rPr>
          <w:color w:val="1A1A1A"/>
          <w:sz w:val="22"/>
          <w:szCs w:val="22"/>
        </w:rPr>
        <w:t xml:space="preserve">OS fingerprinting can fail outright (“No OS matches for host”) when Nmap doesn't get the UDP responses it needs — that's a data-gap in the fingerprint, not necessarily an unusual host.</w:t>
      </w:r>
    </w:p>
    <w:sectPr>
      <w:headerReference w:type="default" r:id="rId7"/>
      <w:footerReference w:type="default" r:id="rId8"/>
      <w:pgSz w:w="12240" w:h="15840" w:orient="portrait"/>
      <w:pgMar w:top="1350" w:right="1150" w:bottom="12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4" w:sz="4" w:space="4"/>
      </w:pBdr>
      <w:jc w:val="center"/>
    </w:pPr>
    <w:r>
      <w:rPr>
        <w:color w:val="5B6472"/>
        <w:sz w:val="16"/>
        <w:szCs w:val="16"/>
      </w:rPr>
      <w:t xml:space="preserve">Page </w:t>
    </w:r>
    <w:r>
      <w:rPr>
        <w:color w:val="5B6472"/>
        <w:sz w:val="16"/>
        <w:szCs w:val="16"/>
      </w:rPr>
      <w:fldChar w:fldCharType="begin"/>
      <w:instrText xml:space="preserve">PAGE</w:instrText>
      <w:fldChar w:fldCharType="separate"/>
      <w:fldChar w:fldCharType="end"/>
    </w:r>
    <w:r>
      <w:rPr>
        <w:color w:val="5B6472"/>
        <w:sz w:val="16"/>
        <w:szCs w:val="16"/>
      </w:rPr>
      <w:t xml:space="preserve"> of </w:t>
    </w:r>
    <w:r>
      <w:rPr>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4" w:sz="4" w:space="4"/>
      </w:pBdr>
      <w:tabs>
        <w:tab w:val="right" w:pos="9026"/>
      </w:tabs>
    </w:pPr>
    <w:r>
      <w:rPr>
        <w:color w:val="5B6472"/>
        <w:sz w:val="16"/>
        <w:szCs w:val="16"/>
      </w:rPr>
      <w:t xml:space="preserve">Nmap Reference Documentation</w:t>
    </w:r>
    <w:r>
      <w:rPr>
        <w:color w:val="5B6472"/>
        <w:sz w:val="16"/>
        <w:szCs w:val="16"/>
      </w:rPr>
      <w:t xml:space="preserve">	Module 5 — Service &amp; OS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b/>
        <w:bCs/>
        <w:color w:val="0E7C8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b34391c7576b668fcb3e91426474a98be046d2.png"/><Relationship Id="rId10" Type="http://schemas.openxmlformats.org/officeDocument/2006/relationships/image" Target="media/346dc0edd1d6692c25445759173d71fc05e53fc4.png"/><Relationship Id="rId11" Type="http://schemas.openxmlformats.org/officeDocument/2006/relationships/image" Target="media/cf6bc2a3dfa4a7c198b821a32b6cc6ff7a286c3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2026-09-25T04:00:55.585Z</dcterms:created>
  <dcterms:modified xsi:type="dcterms:W3CDTF">2026-09-25T04:00:55.586Z</dcterms:modified>
</cp:coreProperties>
</file>

<file path=docProps/custom.xml><?xml version="1.0" encoding="utf-8"?>
<Properties xmlns="http://schemas.openxmlformats.org/officeDocument/2006/custom-properties" xmlns:vt="http://schemas.openxmlformats.org/officeDocument/2006/docPropsVTypes"/>
</file>