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svg" ContentType="image/svg+xml"/>
  <Override PartName="/word/media/image2.svg" ContentType="image/svg+xml"/>
  <Override PartName="/word/media/image3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  <w:r>
        <w:rPr>
          <w:lang w:val="ru-RU"/>
        </w:rPr>
        <w:t>План</w:t>
      </w:r>
      <w:r>
        <w:rPr>
          <w:rFonts w:hint="default"/>
          <w:lang w:val="ru-RU"/>
        </w:rPr>
        <w:t xml:space="preserve"> работы</w:t>
      </w:r>
      <w:r>
        <w:rPr>
          <w:rFonts w:hint="default"/>
          <w:lang w:val="en-US"/>
        </w:rPr>
        <w:t>:</w:t>
      </w:r>
    </w:p>
    <w:p>
      <w:pPr>
        <w:numPr>
          <w:ilvl w:val="0"/>
          <w:numId w:val="1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Какие данные мы убираем и почему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Какие данные мы используем и какие недостатки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>Временные ряды показателей РТО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>Методика прогнозирования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Какие данные мы убираем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Таблица поставок Холодильного оборудования</w:t>
      </w:r>
      <w:r>
        <w:rPr>
          <w:rFonts w:hint="default"/>
          <w:lang w:val="ru-RU"/>
        </w:rPr>
        <w:t xml:space="preserve"> не может использоваться для прогнозирования бюджета по определенному магазину. В таблице указывается только поставки оборудования и это не свидетельствует о количество оборудования в торговой точке. Например, были такие магазины, где между 2011 г. и 2019 г. больше 11 поставок холодильного оборудования - так быть не может (наличие в магазине). </w:t>
      </w:r>
    </w:p>
    <w:p>
      <w:pPr>
        <w:numPr>
          <w:numId w:val="0"/>
        </w:numPr>
        <w:rPr>
          <w:rFonts w:hint="default"/>
          <w:i/>
          <w:iCs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Таблица с квантом расходных материалов</w:t>
      </w:r>
      <w:r>
        <w:rPr>
          <w:rFonts w:hint="default"/>
          <w:b w:val="0"/>
          <w:bCs w:val="0"/>
          <w:lang w:val="ru-RU"/>
        </w:rPr>
        <w:t xml:space="preserve">. Данные из таблицы (на рис.1) используются для расчета количества и суммы для каждого грейда (интервала РТО на рис.2). Возникает вопрос в методологии расчета для каждого грейда. Какими формулами или правилами пользовались для расчета нужного количества расходников? Эти показатели выведены опытным путем? 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Если опытным путем, то тогда </w:t>
      </w:r>
      <w:r>
        <w:rPr>
          <w:rFonts w:hint="default"/>
          <w:b/>
          <w:bCs/>
          <w:lang w:val="ru-RU"/>
        </w:rPr>
        <w:t>таблицу</w:t>
      </w:r>
      <w:r>
        <w:rPr>
          <w:rFonts w:hint="default"/>
          <w:b/>
          <w:bCs/>
          <w:lang w:val="ru-RU"/>
        </w:rPr>
        <w:t xml:space="preserve"> с квантом расходных материалов </w:t>
      </w:r>
      <w:r>
        <w:rPr>
          <w:rFonts w:hint="default"/>
          <w:b w:val="0"/>
          <w:bCs w:val="0"/>
          <w:lang w:val="ru-RU"/>
        </w:rPr>
        <w:t xml:space="preserve">имеет смысл применять. 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Если нет, то нужно  вывести методологию. Например, вдруг на 5 грейд требуется уже не 5 комплектов бумаги, а 7. А все ли из этого грейда нуждаются в 5 комплектах (тут уже появляются такие признаки как площадь магазина, количество сотрудников и др.)</w:t>
      </w:r>
    </w:p>
    <w:p>
      <w:pPr>
        <w:numPr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ru-RU"/>
        </w:rPr>
        <w:t>Замечание</w:t>
      </w:r>
      <w:r>
        <w:rPr>
          <w:rFonts w:hint="default"/>
          <w:b/>
          <w:bCs/>
          <w:i/>
          <w:iCs/>
          <w:lang w:val="en-US"/>
        </w:rPr>
        <w:t>: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 w:val="0"/>
          <w:bCs w:val="0"/>
          <w:i w:val="0"/>
          <w:iCs w:val="0"/>
          <w:lang w:val="ru-RU"/>
        </w:rPr>
        <w:t xml:space="preserve">Таблицей мы пользуемся для косвенного расчета расходников на гриль и хлебопечи в </w:t>
      </w:r>
      <w:r>
        <w:rPr>
          <w:rFonts w:hint="default"/>
          <w:b w:val="0"/>
          <w:bCs w:val="0"/>
          <w:i w:val="0"/>
          <w:iCs w:val="0"/>
          <w:lang w:val="en-US"/>
        </w:rPr>
        <w:t>JDV.</w:t>
      </w:r>
    </w:p>
    <w:p>
      <w:pPr>
        <w:numPr>
          <w:numId w:val="0"/>
        </w:numPr>
        <w:jc w:val="center"/>
      </w:pPr>
      <w:r>
        <w:drawing>
          <wp:inline distT="0" distB="0" distL="114300" distR="114300">
            <wp:extent cx="3620135" cy="1457960"/>
            <wp:effectExtent l="0" t="0" r="1206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145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.1. Таблица Квант Расходных материалов</w:t>
      </w:r>
    </w:p>
    <w:p>
      <w:pPr>
        <w:numPr>
          <w:numId w:val="0"/>
        </w:numPr>
        <w:jc w:val="center"/>
        <w:rPr>
          <w:rFonts w:hint="default"/>
          <w:lang w:val="ru-RU"/>
        </w:rPr>
      </w:pPr>
    </w:p>
    <w:p>
      <w:pPr>
        <w:numPr>
          <w:numId w:val="0"/>
        </w:numPr>
        <w:jc w:val="center"/>
      </w:pPr>
      <w:r>
        <w:drawing>
          <wp:inline distT="0" distB="0" distL="114300" distR="114300">
            <wp:extent cx="4579620" cy="1165225"/>
            <wp:effectExtent l="0" t="0" r="5080" b="317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.2. Расчет количества и суммы для расходных материалов</w:t>
      </w:r>
    </w:p>
    <w:p>
      <w:pPr>
        <w:numPr>
          <w:numId w:val="0"/>
        </w:numPr>
        <w:jc w:val="both"/>
        <w:rPr>
          <w:rFonts w:hint="default"/>
          <w:lang w:val="ru-RU"/>
        </w:rPr>
      </w:pP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Какие данные мы используем и почему</w:t>
      </w:r>
    </w:p>
    <w:p>
      <w:pPr>
        <w:rPr>
          <w:rFonts w:hint="default"/>
          <w:lang w:val="en-US"/>
        </w:rPr>
      </w:pPr>
      <w:r>
        <w:rPr>
          <w:rFonts w:hint="default"/>
          <w:b/>
          <w:bCs/>
          <w:i w:val="0"/>
          <w:iCs w:val="0"/>
          <w:u w:val="single"/>
          <w:lang w:val="ru-RU"/>
        </w:rPr>
        <w:t>Признаки</w:t>
      </w:r>
      <w:r>
        <w:rPr>
          <w:rFonts w:hint="default"/>
          <w:lang w:val="en-US"/>
        </w:rPr>
        <w:t>:</w:t>
      </w:r>
    </w:p>
    <w:p>
      <w:p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№ магазина</w:t>
      </w:r>
      <w:r>
        <w:rPr>
          <w:rFonts w:hint="default"/>
          <w:lang w:val="en-US"/>
        </w:rPr>
        <w:t>/SAP/</w:t>
      </w:r>
      <w:r>
        <w:rPr>
          <w:rFonts w:hint="default"/>
          <w:lang w:val="ru-RU"/>
        </w:rPr>
        <w:t>МВЗ - идентификатор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Количество сотрудников - количественный показатель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Количетсво кассиров - количественный показатель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Площадь - вещественный показатель  </w:t>
      </w:r>
      <w:r>
        <w:rPr>
          <w:rFonts w:hint="default"/>
          <w:lang w:val="en-US"/>
        </w:rPr>
        <w:t>(&gt;0)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Дата открытия - количественный показатель (в секундах)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Ночная приемка - логический (да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>нет)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Ночная выкладка -  логический (да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>нет)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Количество касс - количественный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Новая концепция магазина </w:t>
      </w:r>
      <w:r>
        <w:rPr>
          <w:rFonts w:hint="default"/>
          <w:lang w:val="en-US"/>
        </w:rPr>
        <w:t>JDV</w:t>
      </w:r>
      <w:r>
        <w:rPr>
          <w:rFonts w:hint="default"/>
          <w:lang w:val="ru-RU"/>
        </w:rPr>
        <w:t xml:space="preserve"> - логический (да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 xml:space="preserve">нет) - </w:t>
      </w:r>
      <w:r>
        <w:rPr>
          <w:rFonts w:hint="default"/>
          <w:highlight w:val="lightGray"/>
          <w:lang w:val="ru-RU"/>
        </w:rPr>
        <w:t>значительно влияет на бюджет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Номера касс табакошопов - количественный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Прикассовое оборудование -  логический (да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>нет)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Уровень ассортимента УА - порядковый -  </w:t>
      </w:r>
      <w:r>
        <w:rPr>
          <w:rFonts w:hint="default"/>
          <w:highlight w:val="lightGray"/>
          <w:lang w:val="ru-RU"/>
        </w:rPr>
        <w:t>значительно влияет на бюджет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Предсказанный РТО (можем мы нейросетью, может выдавать финансовый отдел) 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Продажи по курице гриль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>3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месяца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Продажи по курице гриль -2 месяца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Продажи по курице гриль -1 месяц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Продажи по хлебовыпечке -3 месяца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Продажи по хлебовыпечке -2 месяца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Продажи по хлебовыпечке -1 месяц</w:t>
      </w: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Сезонность на текущий месяц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u w:val="single"/>
          <w:lang w:val="ru-RU"/>
        </w:rPr>
      </w:pPr>
      <w:r>
        <w:rPr>
          <w:rFonts w:hint="default"/>
          <w:b/>
          <w:bCs/>
          <w:u w:val="single"/>
          <w:lang w:val="ru-RU"/>
        </w:rPr>
        <w:t>Таргет (предсказательная переменная)</w:t>
      </w:r>
    </w:p>
    <w:p>
      <w:pPr>
        <w:numPr>
          <w:numId w:val="0"/>
        </w:numPr>
        <w:rPr>
          <w:rFonts w:hint="default"/>
          <w:b w:val="0"/>
          <w:bCs w:val="0"/>
          <w:i w:val="0"/>
          <w:iCs w:val="0"/>
          <w:u w:val="none"/>
          <w:lang w:val="ru-RU"/>
        </w:rPr>
      </w:pPr>
      <w:r>
        <w:rPr>
          <w:rFonts w:hint="default"/>
          <w:b w:val="0"/>
          <w:bCs w:val="0"/>
          <w:i w:val="0"/>
          <w:iCs w:val="0"/>
          <w:u w:val="none"/>
          <w:lang w:val="ru-RU"/>
        </w:rPr>
        <w:t>Бюджет или Вес РТО магазина в РТО дивизионе.</w:t>
      </w:r>
      <w:r>
        <w:rPr>
          <w:rFonts w:hint="default"/>
          <w:b w:val="0"/>
          <w:bCs w:val="0"/>
          <w:i w:val="0"/>
          <w:iCs w:val="0"/>
          <w:u w:val="none"/>
          <w:lang w:val="ru-RU"/>
        </w:rPr>
        <w:br w:type="textWrapping"/>
      </w:r>
      <w:r>
        <w:rPr>
          <w:rFonts w:hint="default"/>
          <w:b/>
          <w:bCs/>
          <w:i w:val="0"/>
          <w:iCs w:val="0"/>
          <w:u w:val="none"/>
          <w:lang w:val="ru-RU"/>
        </w:rPr>
        <w:t>Бюджет</w:t>
      </w:r>
      <w:r>
        <w:rPr>
          <w:rFonts w:hint="default"/>
          <w:b w:val="0"/>
          <w:bCs w:val="0"/>
          <w:i w:val="0"/>
          <w:iCs w:val="0"/>
          <w:u w:val="none"/>
          <w:lang w:val="en-US"/>
        </w:rPr>
        <w:t xml:space="preserve">: 9600 </w:t>
      </w:r>
      <w:r>
        <w:rPr>
          <w:rFonts w:hint="default"/>
          <w:b w:val="0"/>
          <w:bCs w:val="0"/>
          <w:i w:val="0"/>
          <w:iCs w:val="0"/>
          <w:u w:val="none"/>
          <w:lang w:val="ru-RU"/>
        </w:rPr>
        <w:t>рублей на магазин с учетом общего бюджета 15 000 000 руб.</w:t>
      </w:r>
    </w:p>
    <w:p>
      <w:pPr>
        <w:numPr>
          <w:numId w:val="0"/>
        </w:numPr>
        <m:rPr/>
        <w:rPr>
          <w:rFonts w:hint="default" w:hAnsi="Cambria Math"/>
          <w:bCs/>
          <w:i w:val="0"/>
          <w:iCs w:val="0"/>
          <w:u w:val="none"/>
          <w:lang w:val="en-US"/>
        </w:rPr>
      </w:pPr>
      <w:r>
        <w:rPr>
          <w:rFonts w:hint="default"/>
          <w:b/>
          <w:bCs/>
          <w:i w:val="0"/>
          <w:iCs w:val="0"/>
          <w:u w:val="none"/>
          <w:lang w:val="ru-RU"/>
        </w:rPr>
        <w:t>Вес РТО магазина в РТО дивизионе</w:t>
      </w:r>
      <w:r>
        <w:rPr>
          <w:rFonts w:hint="default"/>
          <w:b/>
          <w:bCs/>
          <w:i w:val="0"/>
          <w:iCs w:val="0"/>
          <w:u w:val="none"/>
          <w:lang w:val="en-US"/>
        </w:rPr>
        <w:t xml:space="preserve">: </w:t>
      </w:r>
      <m:oMath>
        <m:f>
          <m:fPr>
            <m:ctrlPr>
              <w:rPr>
                <w:rFonts w:ascii="Cambria Math" w:hAnsi="Cambria Math"/>
                <w:bCs/>
                <w:i/>
                <w:iCs w:val="0"/>
                <w:u w:val="none"/>
                <w:lang w:val="en-US"/>
              </w:rPr>
            </m:ctrlPr>
          </m:fPr>
          <m:num>
            <m:r>
              <m:rPr/>
              <w:rPr>
                <w:rFonts w:hint="default" w:ascii="Cambria Math" w:hAnsi="Cambria Math"/>
                <w:u w:val="none"/>
                <w:lang w:val="en-US"/>
              </w:rPr>
              <m:t>9600</m:t>
            </m:r>
            <m:ctrlPr>
              <w:rPr>
                <w:rFonts w:ascii="Cambria Math" w:hAnsi="Cambria Math"/>
                <w:bCs/>
                <w:i/>
                <w:iCs w:val="0"/>
                <w:u w:val="none"/>
                <w:lang w:val="en-US"/>
              </w:rPr>
            </m:ctrlPr>
          </m:num>
          <m:den>
            <m:r>
              <m:rPr/>
              <w:rPr>
                <w:rFonts w:hint="default" w:ascii="Cambria Math" w:hAnsi="Cambria Math"/>
                <w:u w:val="none"/>
                <w:lang w:val="en-US"/>
              </w:rPr>
              <m:t>15000000</m:t>
            </m:r>
            <m:ctrlPr>
              <w:rPr>
                <w:rFonts w:ascii="Cambria Math" w:hAnsi="Cambria Math"/>
                <w:bCs/>
                <w:i/>
                <w:iCs w:val="0"/>
                <w:u w:val="none"/>
                <w:lang w:val="en-US"/>
              </w:rPr>
            </m:ctrlPr>
          </m:den>
        </m:f>
        <m:r>
          <m:rPr/>
          <w:rPr>
            <w:rFonts w:hint="default" w:ascii="Cambria Math" w:hAnsi="Cambria Math"/>
            <w:u w:val="none"/>
            <w:lang w:val="en-US"/>
          </w:rPr>
          <m:t>=0,00064</m:t>
        </m:r>
      </m:oMath>
    </w:p>
    <w:p>
      <w:pPr>
        <w:numPr>
          <w:numId w:val="0"/>
        </w:numPr>
        <m:rPr/>
        <w:rPr>
          <w:rFonts w:hint="default" w:hAnsi="Cambria Math"/>
          <w:b/>
          <w:bCs w:val="0"/>
          <w:i w:val="0"/>
          <w:iCs w:val="0"/>
          <w:highlight w:val="red"/>
          <w:u w:val="none"/>
          <w:lang w:val="en-US"/>
        </w:rPr>
      </w:pP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</w:pPr>
      <w:r>
        <m:rPr/>
        <w:rPr>
          <w:rFonts w:hint="default" w:hAnsi="Cambria Math"/>
          <w:b/>
          <w:bCs w:val="0"/>
          <w:i w:val="0"/>
          <w:iCs w:val="0"/>
          <w:color w:val="FF0000"/>
          <w:highlight w:val="none"/>
          <w:u w:val="none"/>
          <w:lang w:val="ru-RU"/>
        </w:rPr>
        <w:t>Очень важное замечание</w:t>
      </w:r>
      <w:r>
        <m:rPr/>
        <w:rPr>
          <w:rFonts w:hint="default" w:hAnsi="Cambria Math"/>
          <w:b/>
          <w:bCs w:val="0"/>
          <w:i w:val="0"/>
          <w:iCs w:val="0"/>
          <w:color w:val="FF0000"/>
          <w:highlight w:val="none"/>
          <w:u w:val="none"/>
          <w:lang w:val="en-US"/>
        </w:rPr>
        <w:t xml:space="preserve">: </w:t>
      </w:r>
      <w:r>
        <m:rPr/>
        <w:rPr>
          <w:rFonts w:hint="default" w:hAnsi="Cambria Math"/>
          <w:b/>
          <w:bCs w:val="0"/>
          <w:i w:val="0"/>
          <w:iCs w:val="0"/>
          <w:highlight w:val="none"/>
          <w:u w:val="none"/>
          <w:lang w:val="ru-RU"/>
        </w:rPr>
        <w:t xml:space="preserve"> </w:t>
      </w:r>
      <w:r>
        <m:rPr/>
        <w:rPr>
          <w:rFonts w:hint="default" w:hAnsi="Cambria Math"/>
          <w:b/>
          <w:bCs w:val="0"/>
          <w:i w:val="0"/>
          <w:iCs w:val="0"/>
          <w:highlight w:val="none"/>
          <w:u w:val="none"/>
          <w:lang w:val="en-US"/>
        </w:rPr>
        <w:t xml:space="preserve">1)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Обученная модель на этих данных будет хорошо раб</w:t>
      </w:r>
      <w:bookmarkStart w:id="0" w:name="_GoBack"/>
      <w:bookmarkEnd w:id="0"/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отать в расчете на то, что они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искусственно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 не изменялись.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br w:type="textWrapping"/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Например, мы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рассчитываем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 на этих данных предсказанный бюджет для каждого магазина. Но потом оказывается для обучения нашей модели использовались данные из кластера 7, где было резкое «затягивание поясов» в бюджете. И тут возникает несколько вопросов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: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br w:type="textWrapping"/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-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 насколько «чистые» наши данные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 xml:space="preserve"> (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вручную не изменяли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)?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 xml:space="preserve">-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будем ли мы  делать корректировку после расчетов?</w:t>
      </w:r>
    </w:p>
    <w:p>
      <w:pPr>
        <w:numPr>
          <w:ilvl w:val="0"/>
          <w:numId w:val="4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К сожалению, взять данные хотя бы за 1 год по продажам курицы гриль или хлебовыпечки представляется сложным.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 xml:space="preserve">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При рассмотрении временных рядов для показателей РТО продемонстрируем, почему нам также важны гриль и выпечка.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Временные ряды показателей РТО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Здесь покажем что за временные ряды и как они показывают тенденцию. Посмотрим, что есть тренды нисходящие с учетом сезонности и праздников.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</w:p>
    <w:p>
      <w:pPr>
        <w:numPr>
          <w:numId w:val="0"/>
        </w:numPr>
        <m:rPr/>
        <w:rPr>
          <w:rFonts w:hint="default" w:hAnsi="Cambria Math"/>
          <w:b/>
          <w:bCs w:val="0"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/>
          <w:bCs w:val="0"/>
          <w:i w:val="0"/>
          <w:iCs w:val="0"/>
          <w:highlight w:val="none"/>
          <w:u w:val="none"/>
          <w:lang w:val="ru-RU"/>
        </w:rPr>
        <w:t>Так почему же нам так важны продажи во времени?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Продажи во времени показывают сезонность, линейный тренд и общее направление. Это позволяет говорить нам о том какая сезонность товара курицы гриль и хлебовыпечки. Такие ряды позволили бы ответить на вопросы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: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br w:type="textWrapping"/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 xml:space="preserve">-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когда лучше продается курица/выпечка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- как часто меняется покупательская способность на данных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- какие пики продаж и требуются больше расходников (помимо 1 января или мая)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Альтернативное решение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 xml:space="preserve">: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 xml:space="preserve">провести корреляционный анализ с РТО. Если показатель будет больще 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en-US"/>
        </w:rPr>
        <w:t>~</w:t>
      </w:r>
      <w: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  <w:t>0.85 , то можно использовать</w:t>
      </w:r>
    </w:p>
    <w:p>
      <w:pPr>
        <w:numPr>
          <w:numId w:val="0"/>
        </w:numPr>
        <m:rPr/>
        <w:rPr>
          <w:rFonts w:hint="default" w:hAnsi="Cambria Math"/>
          <w:b w:val="0"/>
          <w:bCs/>
          <w:i w:val="0"/>
          <w:iCs w:val="0"/>
          <w:highlight w:val="none"/>
          <w:u w:val="none"/>
          <w:lang w:val="ru-RU"/>
        </w:rPr>
      </w:pPr>
    </w:p>
    <w:p>
      <w:pPr>
        <w:pStyle w:val="2"/>
        <w:bidi w:val="0"/>
        <m:rPr/>
        <w:rPr>
          <w:rFonts w:hint="default"/>
          <w:lang w:val="ru-RU"/>
        </w:rPr>
      </w:pPr>
      <w:r>
        <m:rPr/>
        <w:rPr>
          <w:rFonts w:hint="default"/>
          <w:lang w:val="ru-RU"/>
        </w:rPr>
        <w:t>Методика прогнозирования</w:t>
      </w:r>
    </w:p>
    <w:p>
      <w:pPr>
        <m:rPr/>
        <w:rPr>
          <w:rFonts w:hint="default"/>
          <w:lang w:val="ru-RU"/>
        </w:rPr>
      </w:pPr>
      <w:r>
        <m:rPr/>
        <w:rPr>
          <w:rFonts w:hint="default"/>
          <w:lang w:val="ru-RU"/>
        </w:rPr>
        <w:t>Методов прогнозирования существует достаточно много.</w:t>
      </w:r>
    </w:p>
    <w:p>
      <w:pPr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en-US"/>
        </w:rPr>
      </w:pPr>
      <w:r>
        <m:rPr/>
        <w:rPr>
          <w:rFonts w:hint="default"/>
          <w:lang w:val="en-US"/>
        </w:rPr>
        <w:t xml:space="preserve">Forecasting </w:t>
      </w:r>
      <w:r>
        <m:rPr/>
        <w:rPr>
          <w:rFonts w:hint="default"/>
          <w:lang w:val="ru-RU"/>
        </w:rPr>
        <w:t>-</w:t>
      </w:r>
      <w:r>
        <m:rPr/>
        <w:rPr>
          <w:rFonts w:hint="default" w:asciiTheme="minorAscii" w:hAnsiTheme="minorAscii" w:eastAsiaTheme="majorEastAsia" w:cstheme="majorEastAsia"/>
          <w:lang w:val="ru-RU"/>
        </w:rPr>
        <w:t xml:space="preserve"> </w:t>
      </w:r>
      <w:r>
        <w:rPr>
          <w:rFonts w:hint="default" w:asciiTheme="minorAscii" w:hAnsiTheme="minorAscii" w:eastAsiaTheme="majorEastAsia" w:cstheme="majorEastAsia"/>
          <w:i w:val="0"/>
          <w:iCs w:val="0"/>
          <w:caps w:val="0"/>
          <w:color w:val="202122"/>
          <w:spacing w:val="0"/>
          <w:sz w:val="14"/>
          <w:szCs w:val="14"/>
          <w:shd w:val="clear" w:fill="FFFFFF"/>
        </w:rPr>
        <w:t>это процесс прогнозирования, основанный на прошлых и настоящих данных и чаще всего на основе анализа тенденций. Обычным примером может быть </w:t>
      </w:r>
      <w:r>
        <w:rPr>
          <w:rFonts w:hint="default" w:asciiTheme="minorAscii" w:hAnsiTheme="minorAscii" w:eastAsiaTheme="majorEastAsia" w:cstheme="majorEastAsia"/>
          <w:i w:val="0"/>
          <w:iCs w:val="0"/>
          <w:caps w:val="0"/>
          <w:color w:val="0645AD"/>
          <w:spacing w:val="0"/>
          <w:sz w:val="14"/>
          <w:szCs w:val="14"/>
          <w:u w:val="none"/>
          <w:shd w:val="clear" w:fill="FFFFFF"/>
        </w:rPr>
        <w:t>оценка</w:t>
      </w:r>
      <w:r>
        <w:rPr>
          <w:rFonts w:hint="default" w:asciiTheme="minorAscii" w:hAnsiTheme="minorAscii" w:eastAsiaTheme="majorEastAsia" w:cstheme="majorEastAsia"/>
          <w:i w:val="0"/>
          <w:iCs w:val="0"/>
          <w:caps w:val="0"/>
          <w:color w:val="202122"/>
          <w:spacing w:val="0"/>
          <w:sz w:val="14"/>
          <w:szCs w:val="14"/>
          <w:shd w:val="clear" w:fill="FFFFFF"/>
        </w:rPr>
        <w:t> некоторой интересующей переменной на определенную дату в будущем</w:t>
      </w:r>
      <w:r>
        <w:rPr>
          <w:rFonts w:hint="default" w:asciiTheme="minorAscii" w:hAnsiTheme="minorAscii" w:eastAsiaTheme="majorEastAsia" w:cstheme="majorEastAsia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en-US"/>
        </w:rPr>
        <w:t>.</w:t>
      </w:r>
    </w:p>
    <w:p>
      <w:pPr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en-US"/>
        </w:rPr>
      </w:pPr>
    </w:p>
    <w:p>
      <w:pPr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</w:pPr>
      <w:r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  <w:t>Множественная линейная регрессия</w:t>
      </w:r>
    </w:p>
    <w:p>
      <w:pPr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</w:pPr>
    </w:p>
    <w:p>
      <w:pP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</w:pPr>
      <w: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  <w:t>Решаем задачу минимизации ошибки</w:t>
      </w:r>
    </w:p>
    <w:p>
      <w:pP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</w:pPr>
      <w:r>
        <w:rPr>
          <w:rFonts w:hint="default" w:eastAsia="SimSun" w:cs="SimSun" w:asciiTheme="minorAscii" w:hAnsiTheme="minorAscii"/>
          <w:sz w:val="24"/>
          <w:szCs w:val="24"/>
        </w:rPr>
        <w:drawing>
          <wp:inline distT="0" distB="0" distL="114300" distR="114300">
            <wp:extent cx="1733550" cy="342900"/>
            <wp:effectExtent l="0" t="0" r="6350" b="0"/>
            <wp:docPr id="4" name="Изображение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IMG_25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</w:pPr>
    </w:p>
    <w:p>
      <w:pP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en-US"/>
        </w:rPr>
      </w:pPr>
      <w:r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ru-RU"/>
        </w:rPr>
        <w:t>Признаки</w:t>
      </w:r>
    </w:p>
    <w:p>
      <w:pPr>
        <w:rPr>
          <w:rFonts w:hint="default" w:eastAsia="SimSun" w:cs="SimSun" w:asciiTheme="minorAscii" w:hAnsiTheme="minorAscii"/>
          <w:sz w:val="24"/>
          <w:szCs w:val="24"/>
        </w:rPr>
      </w:pPr>
      <w:r>
        <w:rPr>
          <w:rFonts w:hint="default" w:eastAsia="SimSun" w:cs="SimSun" w:asciiTheme="minorAscii" w:hAnsiTheme="minorAscii"/>
          <w:sz w:val="24"/>
          <w:szCs w:val="24"/>
        </w:rPr>
        <w:drawing>
          <wp:inline distT="0" distB="0" distL="114300" distR="114300">
            <wp:extent cx="4133850" cy="495300"/>
            <wp:effectExtent l="0" t="0" r="0" b="0"/>
            <wp:docPr id="3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rPr>
          <w:rFonts w:hint="default" w:eastAsia="SimSun" w:cs="SimSun" w:asciiTheme="minorAscii" w:hAnsiTheme="minorAscii"/>
          <w:sz w:val="24"/>
          <w:szCs w:val="24"/>
          <w:lang w:val="ru-RU"/>
        </w:rPr>
      </w:pPr>
      <w:r>
        <w:rPr>
          <w:rFonts w:hint="default" w:eastAsia="SimSun" w:cs="SimSun" w:asciiTheme="minorAscii" w:hAnsiTheme="minorAscii"/>
          <w:sz w:val="24"/>
          <w:szCs w:val="24"/>
        </w:rPr>
        <w:drawing>
          <wp:inline distT="0" distB="0" distL="114300" distR="114300">
            <wp:extent cx="476250" cy="104775"/>
            <wp:effectExtent l="0" t="0" r="6350" b="9525"/>
            <wp:docPr id="5" name="Изображение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IMG_256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104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default" w:eastAsia="SimSun" w:cs="SimSun" w:asciiTheme="minorAscii" w:hAnsiTheme="minorAscii"/>
          <w:sz w:val="24"/>
          <w:szCs w:val="24"/>
          <w:lang w:val="ru-RU"/>
        </w:rPr>
        <w:t xml:space="preserve"> - предсказываем </w:t>
      </w:r>
      <w:r>
        <w:rPr>
          <w:rFonts w:hint="default" w:eastAsia="SimSun" w:cs="SimSun" w:asciiTheme="minorAscii" w:hAnsiTheme="minorAscii"/>
          <w:sz w:val="24"/>
          <w:szCs w:val="24"/>
          <w:lang w:val="en-US"/>
        </w:rPr>
        <w:t>y</w:t>
      </w:r>
      <w:r>
        <w:rPr>
          <w:rFonts w:hint="default" w:eastAsia="SimSun" w:cs="SimSun" w:asciiTheme="minorAscii" w:hAnsiTheme="minorAscii"/>
          <w:sz w:val="24"/>
          <w:szCs w:val="24"/>
          <w:lang w:val="ru-RU"/>
        </w:rPr>
        <w:t xml:space="preserve"> таргет</w:t>
      </w:r>
    </w:p>
    <w:p>
      <w:pPr>
        <w:rPr>
          <w:rFonts w:hint="default" w:eastAsia="SimSun" w:cs="SimSun" w:asciiTheme="minorAscii" w:hAnsiTheme="minorAscii"/>
          <w:sz w:val="24"/>
          <w:szCs w:val="24"/>
          <w:lang w:val="ru-RU"/>
        </w:rPr>
      </w:pPr>
      <w:r>
        <w:rPr>
          <w:rFonts w:hint="default" w:eastAsia="SimSun" w:cs="SimSun" w:asciiTheme="minorAscii" w:hAnsiTheme="minorAscii"/>
          <w:sz w:val="24"/>
          <w:szCs w:val="24"/>
          <w:lang w:val="ru-RU"/>
        </w:rPr>
        <w:t>Общая формула для вычисления вектора весовых коэффициентов</w:t>
      </w:r>
    </w:p>
    <w:p>
      <w:pPr>
        <w:rPr>
          <w:rFonts w:hint="default" w:eastAsia="SimSun" w:cs="SimSun" w:asciiTheme="minorAscii" w:hAnsiTheme="minorAscii"/>
          <w:sz w:val="24"/>
          <w:szCs w:val="24"/>
        </w:rPr>
      </w:pPr>
      <w:r>
        <w:rPr>
          <w:rFonts w:hint="default" w:eastAsia="SimSun" w:cs="SimSun" w:asciiTheme="minorAscii" w:hAnsiTheme="minorAscii"/>
          <w:sz w:val="24"/>
          <w:szCs w:val="24"/>
        </w:rPr>
        <w:drawing>
          <wp:inline distT="0" distB="0" distL="114300" distR="114300">
            <wp:extent cx="1562100" cy="209550"/>
            <wp:effectExtent l="0" t="0" r="0" b="6350"/>
            <wp:docPr id="6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rPr>
          <w:rFonts w:hint="default" w:eastAsia="SimSun" w:cs="SimSun" w:asciiTheme="minorAscii" w:hAnsiTheme="minorAscii"/>
          <w:sz w:val="24"/>
          <w:szCs w:val="24"/>
          <w:lang w:val="ru-RU"/>
        </w:rPr>
      </w:pPr>
    </w:p>
    <w:p>
      <w:pPr>
        <w:rPr>
          <w:rFonts w:hint="default" w:eastAsia="SimSun" w:cs="SimSun" w:asciiTheme="minorAscii" w:hAnsiTheme="minorAscii"/>
          <w:sz w:val="24"/>
          <w:szCs w:val="24"/>
          <w:lang w:val="en-US"/>
        </w:rPr>
      </w:pPr>
      <w:r>
        <w:rPr>
          <w:rFonts w:hint="default" w:eastAsia="SimSun" w:cs="SimSun" w:asciiTheme="minorAscii" w:hAnsiTheme="minorAscii"/>
          <w:sz w:val="24"/>
          <w:szCs w:val="24"/>
          <w:lang w:val="ru-RU"/>
        </w:rPr>
        <w:t>Метрика качества модели</w:t>
      </w:r>
      <w:r>
        <w:rPr>
          <w:rFonts w:hint="default" w:eastAsia="SimSun" w:cs="SimSun" w:asciiTheme="minorAscii" w:hAnsiTheme="minorAscii"/>
          <w:sz w:val="24"/>
          <w:szCs w:val="24"/>
          <w:lang w:val="en-US"/>
        </w:rPr>
        <w:t xml:space="preserve">: </w:t>
      </w:r>
    </w:p>
    <w:p>
      <w:pPr>
        <w:rPr>
          <w:rFonts w:hint="default" w:eastAsia="SimSun" w:cs="SimSun" w:asciiTheme="minorAscii" w:hAnsiTheme="minorAscii"/>
          <w:sz w:val="24"/>
          <w:szCs w:val="24"/>
          <w:lang w:val="ru-RU"/>
        </w:rPr>
      </w:pPr>
      <w:r>
        <w:rPr>
          <w:rFonts w:hint="default" w:eastAsia="SimSun" w:cs="SimSun" w:asciiTheme="minorAscii" w:hAnsiTheme="minorAscii"/>
          <w:sz w:val="24"/>
          <w:szCs w:val="24"/>
          <w:lang w:val="en-US"/>
        </w:rPr>
        <w:t xml:space="preserve">ROC  - </w:t>
      </w:r>
      <w:r>
        <w:rPr>
          <w:rFonts w:hint="default" w:eastAsia="SimSun" w:cs="SimSun" w:asciiTheme="minorAscii" w:hAnsiTheme="minorAscii"/>
          <w:sz w:val="24"/>
          <w:szCs w:val="24"/>
          <w:lang w:val="ru-RU"/>
        </w:rPr>
        <w:t>кривая.</w:t>
      </w:r>
    </w:p>
    <w:p>
      <w:pPr>
        <m:rPr/>
        <w:rPr>
          <w:rFonts w:hint="default" w:ascii="Arial Black" w:hAnsi="Arial Black" w:eastAsia="sans-serif" w:cs="Arial Black"/>
          <w:i w:val="0"/>
          <w:iCs w:val="0"/>
          <w:caps w:val="0"/>
          <w:color w:val="202122"/>
          <w:spacing w:val="0"/>
          <w:sz w:val="14"/>
          <w:szCs w:val="14"/>
          <w:shd w:val="clear" w:fill="FFFFFF"/>
          <w:lang w:val="en-US"/>
        </w:rPr>
      </w:pPr>
    </w:p>
    <w:p>
      <w:pPr>
        <m:rPr/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28"/>
          <w:szCs w:val="28"/>
          <w:shd w:val="clear" w:fill="FFFFFF"/>
          <w:lang w:val="en-US"/>
        </w:rPr>
      </w:pPr>
      <w:r>
        <m:rPr/>
        <w:rPr>
          <w:rFonts w:hint="default" w:eastAsia="sans-serif" w:cs="Arial Black" w:asciiTheme="minorAscii" w:hAnsiTheme="minorAscii"/>
          <w:b/>
          <w:bCs/>
          <w:i w:val="0"/>
          <w:iCs w:val="0"/>
          <w:caps w:val="0"/>
          <w:color w:val="202122"/>
          <w:spacing w:val="0"/>
          <w:sz w:val="28"/>
          <w:szCs w:val="28"/>
          <w:shd w:val="clear" w:fill="FFFFFF"/>
          <w:lang w:val="ru-RU"/>
        </w:rPr>
        <w:t>Заключение</w:t>
      </w:r>
      <w:r>
        <m:rPr/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28"/>
          <w:szCs w:val="28"/>
          <w:shd w:val="clear" w:fill="FFFFFF"/>
          <w:lang w:val="en-US"/>
        </w:rPr>
        <w:t>:</w:t>
      </w:r>
    </w:p>
    <w:p>
      <w:pPr>
        <m:rPr/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28"/>
          <w:szCs w:val="28"/>
          <w:shd w:val="clear" w:fill="FFFFFF"/>
          <w:lang w:val="ru-RU"/>
        </w:rPr>
      </w:pPr>
      <w:r>
        <m:rPr/>
        <w:rPr>
          <w:rFonts w:hint="default" w:eastAsia="sans-serif" w:cs="Arial Black" w:asciiTheme="minorAscii" w:hAnsiTheme="minorAscii"/>
          <w:i w:val="0"/>
          <w:iCs w:val="0"/>
          <w:caps w:val="0"/>
          <w:color w:val="202122"/>
          <w:spacing w:val="0"/>
          <w:sz w:val="28"/>
          <w:szCs w:val="28"/>
          <w:shd w:val="clear" w:fill="FFFFFF"/>
          <w:lang w:val="ru-RU"/>
        </w:rPr>
        <w:t>Правильно собранные данные залог 80% качества работы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Bahnschrift 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8D605F"/>
    <w:multiLevelType w:val="singleLevel"/>
    <w:tmpl w:val="C18D605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B1C60F6"/>
    <w:multiLevelType w:val="singleLevel"/>
    <w:tmpl w:val="CB1C60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C734AF4"/>
    <w:multiLevelType w:val="singleLevel"/>
    <w:tmpl w:val="CC734AF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2ED261"/>
    <w:multiLevelType w:val="singleLevel"/>
    <w:tmpl w:val="F72ED261"/>
    <w:lvl w:ilvl="0" w:tentative="0">
      <w:start w:val="2"/>
      <w:numFmt w:val="decimal"/>
      <w:suff w:val="space"/>
      <w:lvlText w:val="%1)"/>
      <w:lvlJc w:val="left"/>
      <w:rPr>
        <w:rFonts w:hint="default"/>
        <w:b/>
        <w:bCs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1D0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svg"/><Relationship Id="rId8" Type="http://schemas.openxmlformats.org/officeDocument/2006/relationships/image" Target="media/image4.png"/><Relationship Id="rId7" Type="http://schemas.openxmlformats.org/officeDocument/2006/relationships/image" Target="media/image1.sv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4.svg"/><Relationship Id="rId12" Type="http://schemas.openxmlformats.org/officeDocument/2006/relationships/image" Target="media/image6.png"/><Relationship Id="rId11" Type="http://schemas.openxmlformats.org/officeDocument/2006/relationships/image" Target="media/image3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38</TotalTime>
  <ScaleCrop>false</ScaleCrop>
  <LinksUpToDate>false</LinksUpToDate>
  <CharactersWithSpaces>0</CharactersWithSpaces>
  <Application>WPS Office_11.2.0.10223_F1E327BC-269C-435d-A152-05C5408002CA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2021-07-27T16:54:01Z</dcterms:created>
  <dc:creator>Kirill Shvab</dc:creator>
  <cp:lastModifiedBy>Kirill Shvab</cp:lastModifiedBy>
  <dcterms:modified xsi:type="dcterms:W3CDTF">2021-07-27T22:32:07Z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1049-11.2.0.10223</vt:lpwstr>
  </property>
</Properties>
</file>