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сопроводительная-документация"/>
    <w:p>
      <w:pPr>
        <w:pStyle w:val="Heading1"/>
        <w:spacing w:line="360" w:lineRule="auto" w:before="0" w:after="0"/>
        <w:ind/>
      </w:pPr>
      <w:r>
        <w:t xml:space="preserve">Сопроводительная документация</w:t>
      </w:r>
    </w:p>
    <w:p>
      <w:pPr>
        <w:pStyle w:val="FirstParagraph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к лабораторной работе № 2 «Анализатор растровых файлов»</w:t>
      </w:r>
    </w:p>
    <w:p>
      <w:pPr>
        <w:pStyle w:val="BodyText"/>
        <w:spacing w:line="360" w:lineRule="auto" w:before="0" w:after="0"/>
        <w:ind w:firstLine="709"/>
      </w:pPr>
      <w:r>
        <w:t xml:space="preserve">Документ отвечает на два вопроса, обязательных по условию работы: каким способом «доставались» данные об изображении и какими внешними библиотеками пользовались. Дополнительно приведено обоснование соблюдения жёсткого архитектурного ограничения для группы 10А.</w:t>
      </w:r>
    </w:p>
    <w:bookmarkStart w:id="9" w:name="перечень-внешних-библиотек"/>
    <w:p>
      <w:pPr>
        <w:pStyle w:val="Heading2"/>
        <w:spacing w:line="360" w:lineRule="auto" w:before="0" w:after="0"/>
        <w:ind/>
      </w:pPr>
      <w:r>
        <w:t xml:space="preserve">1. Перечень внешних библиотек</w:t>
      </w:r>
    </w:p>
    <w:p>
      <w:pPr>
        <w:pStyle w:val="FirstParagraph"/>
        <w:spacing w:line="360" w:lineRule="auto" w:before="0" w:after="0"/>
        <w:ind w:firstLine="709"/>
      </w:pPr>
      <w:r>
        <w:t xml:space="preserve">Единственная сторонняя библиотека, используемая в приложении, —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FLTK 1.4.5</w:t>
      </w:r>
      <w:r>
        <w:t xml:space="preserve"> </w:t>
      </w:r>
      <w:r>
        <w:t xml:space="preserve">(Fast Light Toolkit, исходники vendored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third_party/fltk-1.4.5</w:t>
      </w:r>
      <w:r>
        <w:t xml:space="preserve">). Она применяется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исключительно для отрисовки графического интерфейса и вывода самого изображения</w:t>
      </w:r>
      <w:r>
        <w:t xml:space="preserve"> </w:t>
      </w:r>
      <w:r>
        <w:t xml:space="preserve">в окне просмотра. Никаких других внешних библиотек проект не подключает.</w:t>
      </w:r>
    </w:p>
    <w:p>
      <w:pPr>
        <w:pStyle w:val="BodyText"/>
        <w:spacing w:line="360" w:lineRule="auto" w:before="0" w:after="0"/>
        <w:ind w:firstLine="709"/>
      </w:pPr>
      <w:r>
        <w:t xml:space="preserve">Применены следующие компоненты FLTK: окно, кнопки, поля ввода, выпадающий список, флажки, таблица с полосами прокрутки, надпись и поле вывода файла, а также холст для отображения декодированного растра.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Библиотеки для получения метаданных не использовались.</w:t>
      </w:r>
      <w:r>
        <w:t xml:space="preserve"> </w:t>
      </w:r>
      <w:r>
        <w:t xml:space="preserve">В частности, в коде отсутствуют любые обращения к Pillow, libpng, libjpeg, stb_image и аналогичным библиотекам распознавания форматов. Проверка по исходным текстам приложения даёт нулевое количество совпадений. Pillow применяется исключительно в скриптах подготовки проверочных файлов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tests/generate_edge_cases.py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tests/generate_tiff_cases.py</w:t>
      </w:r>
      <w:r>
        <w:t xml:space="preserve">, то есть вне приложения, только для создания эталонов и не для чтения свойств на стороне программы.</w:t>
      </w:r>
    </w:p>
    <w:p>
      <w:pPr>
        <w:pStyle w:val="BodyText"/>
        <w:spacing w:line="360" w:lineRule="auto" w:before="0" w:after="0"/>
        <w:ind w:firstLine="709"/>
      </w:pPr>
      <w:r>
        <w:t xml:space="preserve">Условие работы для группы 10А допускает внешние библиотеки «только для рендеринга (показа) самой картинки в интерфейсе, но не для чтения ее свойств». Применение FLTK целиком укладывается в это исключение.</w:t>
      </w:r>
    </w:p>
    <w:bookmarkEnd w:id="9"/>
    <w:bookmarkStart w:id="10" w:name="способ-получения-данных"/>
    <w:p>
      <w:pPr>
        <w:pStyle w:val="Heading2"/>
        <w:spacing w:line="360" w:lineRule="auto" w:before="0" w:after="0"/>
        <w:ind/>
      </w:pPr>
      <w:r>
        <w:t xml:space="preserve">2. Способ получения данных</w:t>
      </w:r>
    </w:p>
    <w:p>
      <w:pPr>
        <w:pStyle w:val="FirstParagraph"/>
        <w:spacing w:line="360" w:lineRule="auto" w:before="0" w:after="0"/>
        <w:ind w:firstLine="709"/>
      </w:pPr>
      <w:r>
        <w:t xml:space="preserve">Данные об изображении получены единственным способом: файл открывается как поток байтов, после чего из него читаются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конкретные диапазоны по смещениям, известным из заголовков</w:t>
      </w:r>
      <w:r>
        <w:t xml:space="preserve">, а полученные значения интерпретируются вручную в соответствии со спецификациями форматов. Никакой файл целиком не читается и целиком не загружается в память.</w:t>
      </w:r>
    </w:p>
    <w:p>
      <w:pPr>
        <w:pStyle w:val="BodyText"/>
        <w:spacing w:line="360" w:lineRule="auto" w:before="0" w:after="0"/>
        <w:ind w:firstLine="709"/>
      </w:pPr>
      <w:r>
        <w:t xml:space="preserve">Механизм доступа реализован в классе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FileHead</w:t>
      </w:r>
      <w:r>
        <w:t xml:space="preserve"> </w:t>
      </w:r>
      <w:r>
        <w:t xml:space="preserve">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src/core/FileHead.h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src/core/FileHead.cpp</w:t>
      </w:r>
      <w:r>
        <w:t xml:space="preserve">). Класс открывает файл один раз и предоставляет операцию чтения диапазона по смещению и длине, объединяя соседние запросы в одно системное чтение, чтобы не делать системный вызов на каждый байт. Парсеры форматов не содержат собственной работы с файловой системой и не открывают дескрипторы.</w:t>
      </w:r>
    </w:p>
    <w:p>
      <w:pPr>
        <w:pStyle w:val="BodyText"/>
        <w:spacing w:line="360" w:lineRule="auto" w:before="0" w:after="0"/>
        <w:ind w:firstLine="709"/>
      </w:pPr>
      <w:r>
        <w:t xml:space="preserve">Разбор ведётся двумя способами в зависимости от формата.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Прямое чтение по смещениям</w:t>
      </w:r>
      <w:r>
        <w:t xml:space="preserve"> </w:t>
      </w:r>
      <w:r>
        <w:t xml:space="preserve">применяется для BMP, PNG и TIFF, где в заголовке присутствует таблица смещений на данные палитры, полос или чанков. Нужные байты запрашиваются адресно.</w:t>
      </w:r>
    </w:p>
    <w:p>
      <w:pPr>
        <w:pStyle w:val="BodyText"/>
        <w:spacing w:line="360" w:lineRule="auto" w:before="0" w:after="0"/>
        <w:ind w:firstLine="709"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Последовательное чтение со скользящим окном</w:t>
      </w:r>
      <w:r>
        <w:t xml:space="preserve"> </w:t>
      </w:r>
      <w:r>
        <w:t xml:space="preserve">применяется для GIF и JPEG, где смещения заранее неизвестны: данные идут подряд, и заголовок приходится искать, читая файл вперёд. Для этих форматов реализован класс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ScanWindow</w:t>
      </w:r>
      <w:r>
        <w:t xml:space="preserve"> </w:t>
      </w:r>
      <w:r>
        <w:t xml:space="preserve">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src/core/ScanWindow.h</w:t>
      </w:r>
      <w:r>
        <w:t xml:space="preserve">), который читает файл блоками по мере надобности, сдвигает начало окна и отбрасывает уже разобранные байты, а также устанавливает жёсткий предел на суммарный объём прочитанного.</w:t>
      </w:r>
    </w:p>
    <w:p>
      <w:pPr>
        <w:pStyle w:val="BodyText"/>
        <w:spacing w:line="360" w:lineRule="auto" w:before="0" w:after="0"/>
        <w:ind w:firstLine="709"/>
      </w:pPr>
      <w:r>
        <w:t xml:space="preserve">Формат определяется по сигнатуре содержимого файла, а не по расширению, поэтому подменённое расширение обнаруживается корректно.</w:t>
      </w:r>
    </w:p>
    <w:p>
      <w:pPr>
        <w:pStyle w:val="BodyText"/>
        <w:spacing w:line="360" w:lineRule="auto" w:before="0" w:after="0"/>
        <w:ind w:firstLine="709"/>
      </w:pPr>
      <w:r>
        <w:t xml:space="preserve">Все многобайтовые числа читаются через класс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ByteReader</w:t>
      </w:r>
      <w:r>
        <w:t xml:space="preserve"> </w:t>
      </w:r>
      <w:r>
        <w:t xml:space="preserve">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src/core/ByteReader.h</w:t>
      </w:r>
      <w:r>
        <w:t xml:space="preserve">), который явно учитывает порядок байтов. Это обязательно для TIFF, где маркер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II</w:t>
      </w:r>
      <w:r>
        <w:t xml:space="preserve"> </w:t>
      </w:r>
      <w:r>
        <w:t xml:space="preserve">означает little-endian, 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MM</w:t>
      </w:r>
      <w:r>
        <w:t xml:space="preserve"> </w:t>
      </w:r>
      <w:r>
        <w:t xml:space="preserve">— big-endian; тот же порядок байтов применяется ко всем последующим полям.</w:t>
      </w:r>
    </w:p>
    <w:p>
      <w:pPr>
        <w:pStyle w:val="BodyText"/>
        <w:spacing w:line="360" w:lineRule="auto" w:before="0" w:after="0"/>
        <w:ind w:firstLine="709"/>
      </w:pPr>
      <w:r>
        <w:t xml:space="preserve">Полный перечень извлекаемых характеристик с указанием источника каждой приведён в разделе «Откуда берётся каждая выводимая характеристика» основного отчёта.</w:t>
      </w:r>
    </w:p>
    <w:bookmarkEnd w:id="10"/>
    <w:bookmarkStart w:id="11" w:name="собственные-реализации-алгоритмов"/>
    <w:p>
      <w:pPr>
        <w:pStyle w:val="Heading2"/>
        <w:spacing w:line="360" w:lineRule="auto" w:before="0" w:after="0"/>
        <w:ind/>
      </w:pPr>
      <w:r>
        <w:t xml:space="preserve">3. Собственные реализации алгоритмов</w:t>
      </w:r>
    </w:p>
    <w:p>
      <w:pPr>
        <w:pStyle w:val="FirstParagraph"/>
        <w:spacing w:line="360" w:lineRule="auto" w:before="0" w:after="0"/>
        <w:ind w:firstLine="709"/>
      </w:pPr>
      <w:r>
        <w:t xml:space="preserve">Помимо чтения заголовков, для глубокого анализа требуется восстановление самих пикселей. Все кодеки сжатия реализованы вручную, без обращения к сторонним библиотекам: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Deflate (inflate)</w:t>
      </w:r>
      <w:r>
        <w:t xml:space="preserve"> </w:t>
      </w:r>
      <w:r>
        <w:t xml:space="preserve">— для PNG, включая все пять типов предсказания строк: None, Sub, Up, Average и Paeth, а также восстановление значений до 16 бит.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LZW</w:t>
      </w:r>
      <w:r>
        <w:t xml:space="preserve"> </w:t>
      </w:r>
      <w:r>
        <w:t xml:space="preserve">— для PNG и TIFF, с расширением словаря и сбросом кода.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PackBits</w:t>
      </w:r>
      <w:r>
        <w:t xml:space="preserve"> </w:t>
      </w:r>
      <w:r>
        <w:t xml:space="preserve">— для TIFF.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RLE4 и RLE8</w:t>
      </w:r>
      <w:r>
        <w:t xml:space="preserve"> </w:t>
      </w:r>
      <w:r>
        <w:t xml:space="preserve">— для BMP, включая режим абсолютных значений и управляющие коды 0, 1 и 2.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Хаффман и обратное дискретное косинусное преобразование (IDCT)</w:t>
      </w:r>
      <w:r>
        <w:t xml:space="preserve"> </w:t>
      </w:r>
      <w:r>
        <w:t xml:space="preserve">— для JPEG.</w:t>
      </w:r>
    </w:p>
    <w:p>
      <w:pPr>
        <w:pStyle w:val="Compact"/>
        <w:numPr>
          <w:ilvl w:val="0"/>
          <w:numId w:val="1001"/>
        </w:numPr>
        <w:spacing w:line="360" w:lineRule="auto" w:before="0" w:after="0"/>
        <w:ind/>
      </w:pP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CRC-32</w:t>
      </w:r>
      <w:r>
        <w:t xml:space="preserve"> </w:t>
      </w:r>
      <w:r>
        <w:t xml:space="preserve">— для проверки целостности чанков PNG.</w:t>
      </w:r>
    </w:p>
    <w:bookmarkEnd w:id="11"/>
    <w:bookmarkStart w:id="12" w:name="X2dccbca342d630517e9605ee36d8d3ce5cb66f2"/>
    <w:p>
      <w:pPr>
        <w:pStyle w:val="Heading2"/>
        <w:spacing w:line="360" w:lineRule="auto" w:before="0" w:after="0"/>
        <w:ind/>
      </w:pPr>
      <w:r>
        <w:t xml:space="preserve">4. Обоснование соблюдения жёсткого ограничения</w:t>
      </w:r>
    </w:p>
    <w:p>
      <w:pPr>
        <w:pStyle w:val="FirstParagraph"/>
        <w:spacing w:line="360" w:lineRule="auto" w:before="0" w:after="0"/>
        <w:ind w:firstLine="709"/>
      </w:pPr>
      <w:r>
        <w:t xml:space="preserve">Жёсткое условие запрещает использовать сторонние библиотеки для получения метаданных и предписывает открывать файл как поток байтов и самостоятельно читать массивы по спецификации, находя маркеры, сигнатуры и теги.</w:t>
      </w:r>
    </w:p>
    <w:p>
      <w:pPr>
        <w:pStyle w:val="BodyText"/>
        <w:spacing w:line="360" w:lineRule="auto" w:before="0" w:after="0"/>
        <w:ind w:firstLine="709"/>
      </w:pPr>
      <w:r>
        <w:t xml:space="preserve">Соблюдение этого условия обеспечивается архитектурно, а не только декларативно. Вся логика разбора, чтения и декодирования собрана в статической библиотеке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, которая</w:t>
      </w:r>
      <w:r>
        <w:t xml:space="preserve"> </w:t>
      </w:r>
      <w:r>
        <w:rPr>
          <w:b/>
          <w:bCs/>
          <w:rFonts w:ascii="Times New Roman" w:hAnsi="Times New Roman" w:cs="Times New Roman" w:eastAsia="Times New Roman"/>
          <w:color w:val="000000"/>
          <w:sz w:val="28"/>
          <w:szCs w:val="28"/>
        </w:rPr>
        <w:t xml:space="preserve">не зависит от FLTK ни в одной строке кода</w:t>
      </w:r>
      <w:r>
        <w:t xml:space="preserve">. Графическая оболочка подключается только поверх неё.</w:t>
      </w:r>
    </w:p>
    <w:p>
      <w:pPr>
        <w:pStyle w:val="BodyText"/>
        <w:spacing w:line="360" w:lineRule="auto" w:before="0" w:after="0"/>
        <w:ind w:firstLine="709"/>
      </w:pPr>
      <w:r>
        <w:t xml:space="preserve">Это подтверждается следующими проверками: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t xml:space="preserve">В определении цели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 </w:t>
      </w:r>
      <w:r>
        <w:t xml:space="preserve">перечислены 29 файлов исходного кода, и ни один из них не относится к каталогу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src/view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t xml:space="preserve">Поиск включений заголовков FLTK (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&lt;FL/...&gt;</w:t>
      </w:r>
      <w:r>
        <w:t xml:space="preserve">) по каталогам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src/core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src/model</w:t>
      </w:r>
      <w:r>
        <w:t xml:space="preserve">,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src/controller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src/io</w:t>
      </w:r>
      <w:r>
        <w:t xml:space="preserve"> </w:t>
      </w:r>
      <w:r>
        <w:t xml:space="preserve">не даёт ни одного совпадения. Заголовки FLTK подключаются только в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src/main.cpp</w:t>
      </w:r>
      <w:r>
        <w:t xml:space="preserve"> </w:t>
      </w:r>
      <w:r>
        <w:t xml:space="preserve">и в файлах каталога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src/view</w:t>
      </w:r>
      <w:r>
        <w:t xml:space="preserve">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t xml:space="preserve">Для цели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 </w:t>
      </w:r>
      <w:r>
        <w:t xml:space="preserve">не задано ни одной зависимости компоновки: в файле сборки отсутствует строка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target_link_libraries</w:t>
      </w:r>
      <w:r>
        <w:t xml:space="preserve"> </w:t>
      </w:r>
      <w:r>
        <w:t xml:space="preserve">для неё, есть только директория включений.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t xml:space="preserve">Консольный анализатор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Laba2Scan</w:t>
      </w:r>
      <w:r>
        <w:t xml:space="preserve"> </w:t>
      </w:r>
      <w:r>
        <w:t xml:space="preserve">компонуется только 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 </w:t>
      </w:r>
      <w:r>
        <w:t xml:space="preserve">и не подключает FLTK вообще. Следовательно, все метаданные в нём извлекаются без участия графической библиотеки.</w:t>
      </w:r>
    </w:p>
    <w:p>
      <w:pPr>
        <w:pStyle w:val="Compact"/>
        <w:numPr>
          <w:ilvl w:val="0"/>
          <w:numId w:val="1002"/>
        </w:numPr>
        <w:spacing w:line="360" w:lineRule="auto" w:before="0" w:after="0"/>
        <w:ind/>
      </w:pPr>
      <w:r>
        <w:t xml:space="preserve">Графическое приложение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</w:t>
      </w:r>
      <w:r>
        <w:t xml:space="preserve"> </w:t>
      </w:r>
      <w:r>
        <w:t xml:space="preserve">компонуется с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laba2_core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fltk::fltk</w:t>
      </w:r>
      <w:r>
        <w:t xml:space="preserve">, при этом FLTK используется только для отрисовки.</w:t>
      </w:r>
    </w:p>
    <w:p>
      <w:pPr>
        <w:pStyle w:val="FirstParagraph"/>
        <w:spacing w:line="360" w:lineRule="auto" w:before="0" w:after="0"/>
        <w:ind w:firstLine="709"/>
      </w:pPr>
      <w:r>
        <w:t xml:space="preserve">Таким образом, метаданные не могут быть получены через FLTK даже случайно: соответствующий код физически отделён и не имеет доступа к графической библиотеке.</w:t>
      </w:r>
    </w:p>
    <w:bookmarkEnd w:id="12"/>
    <w:bookmarkStart w:id="13" w:name="средства-разработки-и-сборки"/>
    <w:p>
      <w:pPr>
        <w:pStyle w:val="Heading2"/>
        <w:spacing w:line="360" w:lineRule="auto" w:before="0" w:after="0"/>
        <w:ind/>
      </w:pPr>
      <w:r>
        <w:t xml:space="preserve">5. Средства разработки и сборки</w:t>
      </w:r>
    </w:p>
    <w:tbl>
      <w:tblPr>
        <w:tblStyle w:val="Table"/>
        <w:tblW w:type="dxa" w:w="9638"/>
        <w:tblLayout w:type="fixed"/>
        <w:tblLook w:firstRow="1" w:lastRow="0" w:firstColumn="0" w:lastColumn="0" w:noHBand="0" w:noVBand="0" w:val="0020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top w:w="57" w:type="dxa"/>
          <w:left w:w="108" w:type="dxa"/>
          <w:bottom w:w="57" w:type="dxa"/>
          <w:right w:w="108" w:type="dxa"/>
        </w:tblCellMar>
      </w:tblPr>
      <w:tblGrid>
        <w:gridCol w:w="2154"/>
        <w:gridCol w:w="2948"/>
        <w:gridCol w:w="4536"/>
      </w:tblGrid>
      <w:tr>
        <w:trPr>
          <w:tblHeader w:val="on"/>
          <w:cantSplit/>
        </w:trPr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Средство</w:t>
              <w:rPr>
                <w:b/>
              </w:rPr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Назначение</w:t>
              <w:rPr>
                <w:b/>
              </w:rPr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C++20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язык реализации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FLTK 1.4.5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графический интерфейс и вывод изображения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Стандартная библиотека C++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файловый ввод-вывод,</w:t>
            </w:r>
            <w:r>
              <w:t xml:space="preserve"> </w:t>
            </w:r>
            <w:r>
              <w:rPr>
                <w:rStyle w:val="VerbatimChar"/>
                <w:rFonts w:ascii="Times New Roman" w:hAnsi="Times New Roman" w:cs="Times New Roman" w:eastAsia="Times New Roman"/>
                <w:color w:val="000000"/>
                <w:sz w:val="28"/>
                <w:szCs w:val="28"/>
              </w:rPr>
              <w:t xml:space="preserve">std::filesystem</w:t>
            </w:r>
            <w:r>
              <w:t xml:space="preserve">, потоки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CMake 4.3.4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система сборки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Ninja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генератор сборки</w:t>
            </w:r>
          </w:p>
        </w:tc>
      </w:tr>
      <w:tr>
        <w:trPr/>
        <w:tc>
          <w:tcPr>
            <w:tcW w:w="2154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Python 3 с Pillow</w:t>
            </w:r>
          </w:p>
        </w:tc>
        <w:tc>
          <w:tcPr>
            <w:tcW w:w="2948" w:type="dxa"/>
            <w:vAlign w:val="top"/>
          </w:tcPr>
          <w:p>
            <w:pPr>
              <w:pStyle w:val="Compact"/>
              <w:spacing w:line="240" w:lineRule="auto" w:before="40" w:after="40"/>
              <w:ind w:left="0" w:right="0"/>
            </w:pPr>
            <w:r>
              <w:t xml:space="preserve">подготовка проверочных файлов, вне приложения</w:t>
            </w:r>
          </w:p>
        </w:tc>
      </w:tr>
    </w:tbl>
    <w:p>
      <w:pPr>
        <w:pStyle w:val="BodyText"/>
        <w:spacing w:line="360" w:lineRule="auto" w:before="0" w:after="0"/>
        <w:ind w:firstLine="709"/>
      </w:pPr>
      <w:r>
        <w:t xml:space="preserve">Сторонние библиотеки применяются только в скриптах подготовки тестовых данных. В среде сборки FLTK отключены необязательные компоненты: GL, формы, fluid, а также конфигурации с общей библиотекой и X11 backend на Apple, что сокращает сборку.</w:t>
      </w:r>
    </w:p>
    <w:bookmarkEnd w:id="13"/>
    <w:bookmarkStart w:id="14" w:name="сборка-и-проверка"/>
    <w:p>
      <w:pPr>
        <w:pStyle w:val="Heading2"/>
        <w:spacing w:line="360" w:lineRule="auto" w:before="0" w:after="0"/>
        <w:ind/>
      </w:pPr>
      <w:r>
        <w:t xml:space="preserve">6. Сборка и проверка</w:t>
      </w:r>
    </w:p>
    <w:p>
      <w:pPr>
        <w:pStyle w:val="FirstParagraph"/>
        <w:spacing w:line="360" w:lineRule="auto" w:before="0" w:after="0"/>
        <w:ind w:firstLine="709"/>
      </w:pPr>
      <w:r>
        <w:t xml:space="preserve">Конфигурация и сборка:</w:t>
      </w:r>
    </w:p>
    <w:p>
      <w:pPr>
        <w:pStyle w:val="SourceCode"/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cmake -S . -B build -G Ninja -DCMAKE_BUILD_TYPE=Debug</w:t>
      </w:r>
      <w:r>
        <w:br/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cmake --build build</w:t>
      </w:r>
    </w:p>
    <w:p>
      <w:pPr>
        <w:pStyle w:val="FirstParagraph"/>
        <w:spacing w:line="360" w:lineRule="auto" w:before="0" w:after="0"/>
        <w:ind w:firstLine="709"/>
      </w:pPr>
      <w:r>
        <w:t xml:space="preserve">Консольный анализатор собирается отдельно и не требует графической библиотеки:</w:t>
      </w:r>
    </w:p>
    <w:p>
      <w:pPr>
        <w:pStyle w:val="SourceCode"/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cmake --build build --target Laba2Scan</w:t>
      </w:r>
    </w:p>
    <w:p>
      <w:pPr>
        <w:pStyle w:val="FirstParagraph"/>
        <w:spacing w:line="360" w:lineRule="auto" w:before="0" w:after="0"/>
        <w:ind w:firstLine="709"/>
      </w:pPr>
      <w:r>
        <w:t xml:space="preserve">Автоматическая проверка:</w:t>
      </w:r>
    </w:p>
    <w:p>
      <w:pPr>
        <w:pStyle w:val="SourceCode"/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ctest --test-dir build --output-on-failure</w:t>
      </w:r>
    </w:p>
    <w:p>
      <w:pPr>
        <w:pStyle w:val="FirstParagraph"/>
        <w:spacing w:line="360" w:lineRule="auto" w:before="0" w:after="0"/>
        <w:ind w:firstLine="709"/>
      </w:pPr>
      <w:r>
        <w:t xml:space="preserve">Проверяется корректность разбора папки задания, вывод в CSV, строгий прогон сгенерированного корпуса изображений, строгий глубокий прогон, обработка повреждённых файлов, ненулевой код возврата в строгом режиме и значения счётчиков в сводке.</w:t>
      </w:r>
    </w:p>
    <w:p>
      <w:pPr>
        <w:pStyle w:val="BodyText"/>
        <w:spacing w:line="360" w:lineRule="auto" w:before="0" w:after="0"/>
        <w:ind w:firstLine="709"/>
      </w:pPr>
      <w:r>
        <w:t xml:space="preserve">Запуск консольного анализатора:</w:t>
      </w:r>
    </w:p>
    <w:p>
      <w:pPr>
        <w:pStyle w:val="SourceCode"/>
        <w:spacing w:line="360" w:lineRule="auto" w:before="0" w:after="0"/>
        <w:ind/>
      </w:pP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./build/Laba2Scan "task/Для проверки Lab2" --deep</w:t>
      </w:r>
    </w:p>
    <w:bookmarkEnd w:id="14"/>
    <w:bookmarkStart w:id="15" w:name="ограничения"/>
    <w:p>
      <w:pPr>
        <w:pStyle w:val="Heading2"/>
        <w:spacing w:line="360" w:lineRule="auto" w:before="0" w:after="0"/>
        <w:ind/>
      </w:pPr>
      <w:r>
        <w:t xml:space="preserve">7. Ограничения</w:t>
      </w:r>
    </w:p>
    <w:p>
      <w:pPr>
        <w:pStyle w:val="FirstParagraph"/>
        <w:spacing w:line="360" w:lineRule="auto" w:before="0" w:after="0"/>
        <w:ind w:firstLine="709"/>
      </w:pPr>
      <w:r>
        <w:t xml:space="preserve">Прогрессивный JPEG распознаётся по маркеру</w:t>
      </w:r>
      <w:r>
        <w:t xml:space="preserve"> </w:t>
      </w:r>
      <w:r>
        <w:rPr>
          <w:rStyle w:val="VerbatimChar"/>
          <w:rFonts w:ascii="Times New Roman" w:hAnsi="Times New Roman" w:cs="Times New Roman" w:eastAsia="Times New Roman"/>
          <w:color w:val="000000"/>
          <w:sz w:val="28"/>
          <w:szCs w:val="28"/>
        </w:rPr>
        <w:t xml:space="preserve">SOF2</w:t>
      </w:r>
      <w:r>
        <w:t xml:space="preserve">, его заголовки разбираются, но пиксели не восстанавливаются; выводится предупреждение, а не ошибка, поскольку такой файл корректен. Не поддерживаются тайловые TIFF и раздельное хранение плоскостей — эти случаи выявляются по тегам и сообщаются явным сообщением об ошибке. JPEG с коэффициентом дискретизации больше двух обрабатывается приближённо, методом ближайшего соседа.</w:t>
      </w:r>
    </w:p>
    <w:bookmarkEnd w:id="15"/>
    <w:bookmarkEnd w:id="16"/>
    <w:sectPr>
      <w:footnotePr>
        <w:numRestart w:val="eachSect"/>
      </w:footnotePr>
      <w:pgSz w:w="11906" w:h="16838"/>
      <w:pgMar w:bottom="1134" w:left="1701" w:right="56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cs="Times New Roman" w:eastAsia="Times New Roman" w:hAnsi="Times New Roman"/>
        <w:sz w:val="28"/>
        <w:szCs w:val="28"/>
        <w:lang w:bidi="ar-SA" w:eastAsia="zh-CN" w:val="ru-RU"/>
        <w:color w:val="000000"/>
      </w:rPr>
    </w:rPrDefault>
    <w:pPrDefault>
      <w:pPr>
        <w:spacing w:after="0" w:line="360" w:lineRule="auto" w:before="0"/>
        <w:ind w:firstLine="709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BodyText" w:type="paragraph">
    <w:name w:val="Body Text"/>
    <w:basedOn w:val="Normal"/>
    <w:link w:val="BodyTextChar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rstParagraph" w:type="paragraph">
    <w:name w:val="First Paragraph"/>
    <w:basedOn w:val="BodyText"/>
    <w:next w:val="BodyText"/>
    <w:qFormat/>
    <w:pPr>
      <w:spacing w:after="0" w:before="0" w:line="360" w:lineRule="auto"/>
      <w:ind w:firstLine="709"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Compact" w:type="paragraph">
    <w:name w:val="Compact"/>
    <w:basedOn w:val="BodyText"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0" w:before="0" w:line="360" w:lineRule="auto"/>
      <w:contextualSpacing/>
      <w:jc w:val="center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cs="Times New Roman" w:eastAsia="Times New Roman" w:hAnsi="Times New Roman"/>
      <w:sz w:val="28"/>
      <w:szCs w:val="28"/>
      <w:color w:val="000000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0" w:before="0" w:line="360" w:lineRule="auto"/>
      <w:ind/>
    </w:pPr>
    <w:rPr>
      <w:rFonts w:ascii="Times New Roman" w:cs="Times New Roman" w:eastAsia="Times New Roman" w:hAnsi="Times New Roman"/>
      <w:spacing w:val="15"/>
      <w:sz w:val="28"/>
      <w:szCs w:val="28"/>
      <w:color w:val="000000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cs="Times New Roman" w:eastAsia="Times New Roman" w:hAnsi="Times New Roman"/>
      <w:color w:val="000000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styleId="Date" w:type="paragraph">
    <w:name w:val="Date"/>
    <w:basedOn w:val="Title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0" w:line="360" w:lineRule="auto"/>
      <w:jc w:val="center"/>
      <w:ind/>
    </w:pPr>
    <w:rPr>
      <w:rFonts w:ascii="Times New Roman" w:cs="Times New Roman" w:eastAsia="Times New Roman" w:hAnsi="Times New Roman"/>
      <w:b/>
      <w:sz w:val="28"/>
      <w:szCs w:val="28"/>
      <w:color w:val="00000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sz w:val="28"/>
      <w:szCs w:val="28"/>
      <w:color w:val="000000"/>
    </w:rPr>
  </w:style>
  <w:style w:styleId="Bibliography" w:type="paragraph">
    <w:name w:val="Bibliography"/>
    <w:basedOn w:val="Normal"/>
    <w:next w:val="Bibliography"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0" w:before="0" w:line="360" w:lineRule="auto"/>
      <w:outlineLvl w:val="0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1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2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3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4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5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6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7"/>
      <w:ind/>
    </w:pPr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 w:before="0" w:line="360" w:lineRule="auto"/>
      <w:outlineLvl w:val="8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cs="Times New Roman" w:eastAsia="Times New Roman" w:hAnsi="Times New Roman"/>
      <w:i/>
      <w:iCs/>
      <w:color w:val="000000"/>
      <w:sz w:val="28"/>
      <w:szCs w:val="28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cs="Times New Roman" w:eastAsia="Times New Roman" w:hAnsi="Times New Roman"/>
      <w:color w:val="000000"/>
      <w:sz w:val="28"/>
      <w:szCs w:val="28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0" w:before="0" w:line="360" w:lineRule="auto"/>
      <w:ind w:right="480"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FootnoteText" w:type="paragraph">
    <w:name w:val="Footnote Text"/>
    <w:basedOn w:val="Normal"/>
    <w:next w:val="FootnoteText"/>
    <w:uiPriority w:val="9"/>
    <w:unhideWhenUsed/>
    <w:qFormat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0" w:before="0" w:line="360" w:lineRule="auto"/>
      <w:ind w:right="480"/>
    </w:pPr>
    <w:rPr>
      <w:rFonts w:ascii="Times New Roman" w:cs="Times New Roman" w:eastAsia="Times New Roman" w:hAnsi="Times New Roman"/>
      <w:color w:val="000000"/>
      <w:sz w:val="28"/>
      <w:szCs w:val="28"/>
    </w:rPr>
  </w:style>
  <w:style w:default="1" w:styleId="DefaultParagraphFont" w:type="character">
    <w:name w:val="Default Paragraph Font"/>
    <w:semiHidden/>
    <w:unhideWhenUsed/>
    <w:rPr>
      <w:rFonts w:ascii="Times New Roman" w:cs="Times New Roman" w:eastAsia="Times New Roman" w:hAnsi="Times New Roman"/>
      <w:color w:val="000000"/>
      <w:sz w:val="28"/>
      <w:szCs w:val="28"/>
    </w:rPr>
  </w:style>
  <w:style w:default="1" w:styleId="Table" w:type="table">
    <w:name w:val="Table"/>
    <w:basedOn w:val="TableNormal"/>
    <w:semiHidden/>
    <w:unhideWhenUsed/>
    <w:qFormat/>
    <w:rPr>
      <w:rFonts w:ascii="Times New Roman" w:cs="Times New Roman" w:eastAsia="Times New Roman" w:hAnsi="Times New Roman"/>
      <w:color w:val="000000"/>
      <w:sz w:val="28"/>
      <w:szCs w:val="28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 w:before="0" w:line="360" w:lineRule="auto"/>
      <w:ind/>
    </w:pPr>
    <w:rPr>
      <w:rFonts w:ascii="Times New Roman" w:cs="Times New Roman" w:eastAsia="Times New Roman" w:hAnsi="Times New Roman"/>
      <w:b/>
      <w:color w:val="000000"/>
      <w:sz w:val="28"/>
      <w:szCs w:val="28"/>
    </w:rPr>
  </w:style>
  <w:style w:customStyle="1" w:styleId="Definition" w:type="paragraph">
    <w:name w:val="Definition"/>
    <w:basedOn w:val="Normal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styleId="Caption" w:type="paragraph">
    <w:name w:val="Caption"/>
    <w:basedOn w:val="Normal"/>
    <w:link w:val="BodyTextChar"/>
    <w:pPr>
      <w:spacing w:after="0" w:before="0" w:line="360" w:lineRule="auto"/>
      <w:ind/>
    </w:pPr>
    <w:rPr>
      <w:rFonts w:ascii="Times New Roman" w:cs="Times New Roman" w:eastAsia="Times New Roman" w:hAnsi="Times New Roman"/>
      <w:i/>
      <w:color w:val="000000"/>
      <w:sz w:val="28"/>
      <w:szCs w:val="28"/>
    </w:rPr>
  </w:style>
  <w:style w:customStyle="1" w:styleId="TableCaption" w:type="paragraph">
    <w:name w:val="Table Caption"/>
    <w:basedOn w:val="Caption"/>
    <w:pPr>
      <w:keepNext/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ImageCaption" w:type="paragraph">
    <w:name w:val="Image Caption"/>
    <w:basedOn w:val="Caption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Figure" w:type="paragraph">
    <w:name w:val="Figure"/>
    <w:basedOn w:val="Normal"/>
    <w:pPr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CaptionedFigure" w:type="paragraph">
    <w:name w:val="Captioned Figure"/>
    <w:basedOn w:val="Figure"/>
    <w:pPr>
      <w:keepNext/>
      <w:spacing w:after="0" w:before="0" w:line="360" w:lineRule="auto"/>
      <w:ind/>
    </w:pPr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BodyTextChar" w:type="character">
    <w:name w:val="Body Text Char"/>
    <w:basedOn w:val="DefaultParagraphFont"/>
    <w:link w:val="BodyText"/>
    <w:rPr>
      <w:rFonts w:ascii="Times New Roman" w:cs="Times New Roman" w:eastAsia="Times New Roman" w:hAnsi="Times New Roman"/>
      <w:color w:val="000000"/>
      <w:sz w:val="28"/>
      <w:szCs w:val="28"/>
    </w:rPr>
  </w:style>
  <w:style w:customStyle="1" w:styleId="VerbatimChar" w:type="character">
    <w:name w:val="Verbatim Char"/>
    <w:basedOn w:val="BodyTextChar"/>
    <w:rPr>
      <w:rFonts w:ascii="Times New Roman" w:cs="Times New Roman" w:eastAsia="Times New Roman" w:hAnsi="Times New Roman"/>
      <w:sz w:val="28"/>
      <w:color w:val="000000"/>
      <w:szCs w:val="28"/>
    </w:rPr>
  </w:style>
  <w:style w:customStyle="1" w:styleId="SectionNumber" w:type="character">
    <w:name w:val="Section Number"/>
    <w:basedOn w:val="BodyTextChar"/>
    <w:rPr>
      <w:rFonts w:ascii="Times New Roman" w:cs="Times New Roman" w:eastAsia="Times New Roman" w:hAnsi="Times New Roman"/>
      <w:color w:val="000000"/>
      <w:sz w:val="28"/>
      <w:szCs w:val="28"/>
    </w:rPr>
  </w:style>
  <w:style w:styleId="FootnoteReference" w:type="character">
    <w:name w:val="Footnote Reference"/>
    <w:basedOn w:val="BodyTextChar"/>
    <w:rPr>
      <w:rFonts w:ascii="Times New Roman" w:cs="Times New Roman" w:eastAsia="Times New Roman" w:hAnsi="Times New Roman"/>
      <w:vertAlign w:val="superscript"/>
      <w:color w:val="000000"/>
      <w:sz w:val="28"/>
      <w:szCs w:val="28"/>
    </w:rPr>
  </w:style>
  <w:style w:styleId="Hyperlink" w:type="character">
    <w:name w:val="Hyperlink"/>
    <w:basedOn w:val="BodyTextChar"/>
    <w:rPr>
      <w:rFonts w:ascii="Times New Roman" w:cs="Times New Roman" w:eastAsia="Times New Roman" w:hAnsi="Times New Roman"/>
      <w:color w:val="000000"/>
      <w:sz w:val="28"/>
      <w:szCs w:val="2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after="0" w:before="0" w:line="360" w:lineRule="auto"/>
      <w:outlineLvl w:val="9"/>
      <w:ind/>
    </w:pPr>
    <w:rPr>
      <w:rFonts w:ascii="Times New Roman" w:cs="Times New Roman" w:eastAsia="Times New Roman" w:hAnsi="Times New Roman"/>
      <w:b w:val="0"/>
      <w:bCs w:val="0"/>
      <w:color w:val="000000"/>
      <w:sz w:val="28"/>
      <w:szCs w:val="28"/>
    </w:rPr>
  </w:style>
  <w:style w:type="paragraph" w:customStyle="1" w:styleId="SourceCode">
    <w:name w:val="Source Code"/>
    <w:basedOn w:val="Normal"/>
    <w:link w:val="VerbatimChar"/>
    <w:pPr>
      <w:wordWrap w:val="off"/>
      <w:spacing w:line="360" w:lineRule="auto" w:before="0" w:after="0"/>
      <w:ind/>
    </w:pPr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KeywordTok">
    <w:name w:val="Keyword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ataTypeTok">
    <w:name w:val="DataTyp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ecValTok">
    <w:name w:val="DecVal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BaseNTok">
    <w:name w:val="Base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FloatTok">
    <w:name w:val="Float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nstantTok">
    <w:name w:val="Constant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harTok">
    <w:name w:val="Cha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pecialCharTok">
    <w:name w:val="SpecialCha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tringTok">
    <w:name w:val="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VerbatimStringTok">
    <w:name w:val="Verbatim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SpecialStringTok">
    <w:name w:val="SpecialString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ImportTok">
    <w:name w:val="Import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mmentTok">
    <w:name w:val="CommentTok"/>
    <w:basedOn w:val="VerbatimChar"/>
    <w:rPr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DocumentationTok">
    <w:name w:val="DocumentationTok"/>
    <w:basedOn w:val="VerbatimChar"/>
    <w:rPr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nnotationTok">
    <w:name w:val="Annotation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mmentVarTok">
    <w:name w:val="CommentVar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OtherTok">
    <w:name w:val="Othe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FunctionTok">
    <w:name w:val="Functio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VariableTok">
    <w:name w:val="Variabl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ControlFlowTok">
    <w:name w:val="ControlFlow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OperatorTok">
    <w:name w:val="Operato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BuiltInTok">
    <w:name w:val="BuiltIn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ExtensionTok">
    <w:name w:val="Extension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PreprocessorTok">
    <w:name w:val="Preprocessor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ttributeTok">
    <w:name w:val="AttributeTok"/>
    <w:basedOn w:val="VerbatimChar"/>
    <w:rPr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RegionMarkerTok">
    <w:name w:val="RegionMarker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  <w:style w:type="character" w:customStyle="1" w:styleId="InformationTok">
    <w:name w:val="Information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WarningTok">
    <w:name w:val="WarningTok"/>
    <w:basedOn w:val="VerbatimChar"/>
    <w:rPr>
      <w:b/>
      <w:i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AlertTok">
    <w:name w:val="Alert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ErrorTok">
    <w:name w:val="ErrorTok"/>
    <w:basedOn w:val="VerbatimChar"/>
    <w:rPr>
      <w:b/>
      <w:color w:val="000000"/>
      <w:rFonts w:ascii="Times New Roman" w:hAnsi="Times New Roman" w:cs="Times New Roman" w:eastAsia="Times New Roman"/>
      <w:sz w:val="28"/>
      <w:szCs w:val="28"/>
    </w:rPr>
  </w:style>
  <w:style w:type="character" w:customStyle="1" w:styleId="NormalTok">
    <w:name w:val="NormalTok"/>
    <w:basedOn w:val="VerbatimChar"/>
    <w:rPr>
      <w:rFonts w:ascii="Times New Roman" w:hAnsi="Times New Roman" w:cs="Times New Roman" w:eastAsia="Times New Roman"/>
      <w:color w:val="000000"/>
      <w:sz w:val="28"/>
      <w:szCs w:val="2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2026-10-01T22:28:47Z</dcterms:created>
  <dcterms:modified xsi:type="dcterms:W3CDTF">2026-10-01T22:28:47Z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