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type="dxa" w:w="10944"/>
      </w:tblPr>
      <w:tblGrid>
        <w:gridCol w:w="10944"/>
      </w:tblGrid>
      <w:tr>
        <w:trPr>
          <w:trHeight w:val="12900" w:hRule="atLeast"/>
        </w:trPr>
        <w:tc>
          <w:tcPr>
            <w:tcW w:type="dxa" w:w="10944"/>
            <w:shd w:val="clear" w:color="auto" w:fill="142444"/>
            <w:vAlign w:val="top"/>
            <w:tcMar>
              <w:top w:w="460" w:type="dxa"/>
              <w:start w:w="460" w:type="dxa"/>
              <w:bottom w:w="460" w:type="dxa"/>
              <w:end w:w="460" w:type="dxa"/>
            </w:tcMar>
          </w:tcPr>
          <w:p>
            <w:r>
              <w:rPr>
                <w:b/>
                <w:color w:val="6FA8DC"/>
                <w:sz w:val="22"/>
                <w:spacing w:val="40"/>
              </w:rPr>
              <w:t>FORENSIC CYBER TECH</w:t>
            </w:r>
          </w:p>
          <w:p>
            <w:pPr>
              <w:jc w:val="right"/>
            </w:pPr>
            <w:r>
              <w:rPr>
                <w:color w:val="AEB9C9"/>
                <w:sz w:val="18"/>
                <w:spacing w:val="40"/>
              </w:rPr>
              <w:t>TECHNICAL WHITE PAPER   ·   VERSION 1.0</w:t>
            </w:r>
          </w:p>
          <w:p/>
          <w:p/>
          <w:p>
            <w:pPr>
              <w:spacing w:line="254" w:lineRule="auto" w:after="0"/>
            </w:pPr>
            <w:r>
              <w:rPr>
                <w:b/>
                <w:color w:val="FFFFFF"/>
                <w:sz w:val="60"/>
              </w:rPr>
              <w:t>Adaptive Threat</w:t>
              <w:br/>
            </w:r>
            <w:r>
              <w:rPr>
                <w:b/>
                <w:color w:val="FFFFFF"/>
                <w:sz w:val="60"/>
              </w:rPr>
              <w:t>Intelligence with</w:t>
              <w:br/>
            </w:r>
            <w:r>
              <w:rPr>
                <w:b/>
                <w:color w:val="FFFFFF"/>
                <w:sz w:val="60"/>
              </w:rPr>
              <w:t>Attention Graph</w:t>
              <w:br/>
            </w:r>
            <w:r>
              <w:rPr>
                <w:b/>
                <w:color w:val="FFFFFF"/>
                <w:sz w:val="60"/>
              </w:rPr>
              <w:t>Networks</w:t>
            </w:r>
          </w:p>
          <w:p>
            <w:pPr>
              <w:spacing w:before="240"/>
            </w:pPr>
            <w:r>
              <w:rPr>
                <w:b/>
                <w:color w:val="2E6FB5"/>
                <w:sz w:val="24"/>
              </w:rPr>
              <w:t>────────────</w:t>
            </w:r>
          </w:p>
          <w:p>
            <w:pPr>
              <w:spacing w:before="320" w:line="312" w:lineRule="auto"/>
            </w:pPr>
            <w:r>
              <w:rPr>
                <w:color w:val="D7DEE8"/>
                <w:sz w:val="26"/>
              </w:rPr>
              <w:t>A sovereign, offline-capable platform that learns the shape of an attack across hosts and time — modelling network evidence as an evolving graph and reasoning over it with multi-head attention, reinforcement learning and federated analytics.</w:t>
            </w:r>
          </w:p>
          <w:p>
            <w:pPr>
              <w:spacing w:before="200"/>
            </w:pPr>
            <w:r>
              <w:rPr>
                <w:i/>
                <w:color w:val="AEB9C9"/>
                <w:sz w:val="21"/>
              </w:rPr>
              <w:t>Self-supervised where labels are scarce. Attention where structure matters. Deterministic, reproducible evaluation throughout.</w:t>
            </w:r>
          </w:p>
          <w:p/>
          <w:p/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W w:type="dxa" w:w="9936"/>
            </w:tblPr>
            <w:tblGrid>
              <w:gridCol w:w="2736"/>
              <w:gridCol w:w="2736"/>
              <w:gridCol w:w="2736"/>
              <w:gridCol w:w="2736"/>
            </w:tblGrid>
            <w:tr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b/>
                      <w:color w:val="6FA8DC"/>
                      <w:sz w:val="18"/>
                    </w:rPr>
                    <w:t>Prepared for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b/>
                      <w:color w:val="6FA8DC"/>
                      <w:sz w:val="18"/>
                    </w:rPr>
                    <w:t>Issued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b/>
                      <w:color w:val="6FA8DC"/>
                      <w:sz w:val="18"/>
                    </w:rPr>
                    <w:t>Author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b/>
                      <w:color w:val="6FA8DC"/>
                      <w:sz w:val="18"/>
                    </w:rPr>
                    <w:t>Handling</w:t>
                  </w:r>
                </w:p>
              </w:tc>
            </w:tr>
            <w:tr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color w:val="AEB9C9"/>
                      <w:sz w:val="17"/>
                    </w:rPr>
                    <w:t>Security research &amp; SOC-modernisation stakeholders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color w:val="AEB9C9"/>
                      <w:sz w:val="17"/>
                    </w:rPr>
                    <w:t>June 2026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color w:val="AEB9C9"/>
                      <w:sz w:val="17"/>
                    </w:rPr>
                    <w:t>Arsh Saiyad</w:t>
                    <w:br/>
                  </w:r>
                  <w:r>
                    <w:rPr>
                      <w:color w:val="AEB9C9"/>
                      <w:sz w:val="17"/>
                    </w:rPr>
                    <w:t>Machine Learning / AI Engineer, Forensic Cyber Tech</w:t>
                  </w:r>
                </w:p>
              </w:tc>
              <w:tc>
                <w:tcPr>
                  <w:tcW w:type="dxa" w:w="2736"/>
                  <w:shd w:val="clear" w:color="auto" w:fill="142444"/>
                </w:tcPr>
                <w:p>
                  <w:r/>
                  <w:r>
                    <w:rPr>
                      <w:color w:val="AEB9C9"/>
                      <w:sz w:val="17"/>
                    </w:rPr>
                    <w:t>Restricted distribution</w:t>
                  </w:r>
                </w:p>
              </w:tc>
            </w:tr>
          </w:tbl>
          <w:p/>
        </w:tc>
      </w:tr>
    </w:tbl>
    <w:p>
      <w:pPr>
        <w:spacing w:before="0" w:after="0" w:line="40" w:lineRule="exact"/>
        <w:sectPr>
          <w:pgSz w:w="12240" w:h="15840"/>
          <w:pgMar w:top="648" w:right="648" w:bottom="648" w:left="648" w:header="720" w:footer="720" w:gutter="0"/>
          <w:cols w:space="720"/>
          <w:docGrid w:linePitch="360"/>
        </w:sectPr>
      </w:pP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1   </w:t>
      </w:r>
      <w:r>
        <w:rPr>
          <w:b/>
          <w:color w:val="1B2A4A"/>
          <w:sz w:val="30"/>
        </w:rPr>
        <w:t>Executive Summary</w:t>
      </w:r>
    </w:p>
    <w:p>
      <w:pPr>
        <w:jc w:val="both"/>
      </w:pPr>
      <w:r>
        <w:rPr>
          <w:b/>
        </w:rPr>
        <w:t>graphrl-sec</w:t>
      </w:r>
      <w:r>
        <w:t xml:space="preserve"> is a research-grade cybersecurity platform built to answer a question that signature-based defences cannot: not “is this single event malicious?”, but “what does the </w:t>
      </w:r>
      <w:r>
        <w:rPr>
          <w:b/>
        </w:rPr>
        <w:t>pattern</w:t>
      </w:r>
      <w:r>
        <w:t xml:space="preserve"> of activity across many machines, over hours, actually reveal?” A typical Security Operations Centre (SOC) generates more than 10,000 alerts a day while analysts can realistically examine 100–200; the rest go unread, and attackers deliberately generate noise to hide in that gap. graphrl-sec reframes intrusion detection as a </w:t>
      </w:r>
      <w:r>
        <w:rPr>
          <w:b/>
        </w:rPr>
        <w:t>temporal-graph learning</w:t>
      </w:r>
      <w:r>
        <w:t xml:space="preserve"> problem and applies modern attention-based deep learning to it.</w:t>
      </w:r>
    </w:p>
    <w:p>
      <w:pPr>
        <w:jc w:val="both"/>
      </w:pPr>
      <w:r>
        <w:t xml:space="preserve">Network telemetry is ingested once into an evolving heterogeneous graph of hosts, external addresses, services, domains and users. A purpose-built </w:t>
      </w:r>
      <w:r>
        <w:rPr>
          <w:b/>
        </w:rPr>
        <w:t>Temporal Heterogeneous Graph Attention Network (T-HetGAT)</w:t>
      </w:r>
      <w:r>
        <w:t xml:space="preserve"> then learns — using multi-head attention and self-supervised contrastive pre-training — to separate malicious interaction patterns from benign ones. The system is trained and benchmarked on two industry-standard corpora, complemented by a reinforcement-learning alert-triage agent and a privacy-preserving federated-learning layer, and surfaced through a real-time analyst dashboard. Every component is self-hosted and runs without any external dependency.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type="dxa" w:w="9432"/>
      </w:tblPr>
      <w:tblGrid>
        <w:gridCol w:w="9504"/>
      </w:tblGrid>
      <w:tr>
        <w:tc>
          <w:tcPr>
            <w:tcW w:type="dxa" w:w="9504"/>
            <w:shd w:val="clear" w:color="auto" w:fill="EAF1FA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left w:val="single" w:sz="24" w:space="0" w:color="9FBFE3"/>
            </w:tcBorders>
          </w:tcPr>
          <w:p>
            <w:pPr>
              <w:spacing w:after="60"/>
            </w:pPr>
            <w:r>
              <w:rPr>
                <w:b/>
                <w:color w:val="2E6FB5"/>
                <w:sz w:val="19"/>
                <w:spacing w:val="20"/>
              </w:rPr>
              <w:t>AT A GLANCE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Approach:</w:t>
            </w:r>
            <w:r>
              <w:rPr>
                <w:sz w:val="19"/>
              </w:rPr>
              <w:t xml:space="preserve"> intrusion detection as temporal-graph learning, not per-event signature matching.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Core model:</w:t>
            </w:r>
            <w:r>
              <w:rPr>
                <w:sz w:val="19"/>
              </w:rPr>
              <w:t xml:space="preserve"> T-HetGAT — temporal, heterogeneous, multi-head graph attention (1,552,289 parameters).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Pre-training:</w:t>
            </w:r>
            <w:r>
              <w:rPr>
                <w:sz w:val="19"/>
              </w:rPr>
              <w:t xml:space="preserve"> self-supervised GraphCL contrastive learning (NT-Xent) — learns without labels.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Data:</w:t>
            </w:r>
            <w:r>
              <w:rPr>
                <w:sz w:val="19"/>
              </w:rPr>
              <w:t xml:space="preserve"> UNSW-NB15 + CICIDS2017, 250M+ normalised events, 17,657 temporal graph windows.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Validated baseline:</w:t>
            </w:r>
            <w:r>
              <w:rPr>
                <w:sz w:val="19"/>
              </w:rPr>
              <w:t xml:space="preserve"> Node2Vec + Isolation Forest at AUROC 0.9804; full precision/recall reporting.</w:t>
            </w:r>
          </w:p>
          <w:p>
            <w:pPr>
              <w:pStyle w:val="ListBullet"/>
              <w:spacing w:after="40"/>
              <w:jc w:val="both"/>
            </w:pPr>
            <w:r>
              <w:rPr>
                <w:b/>
                <w:sz w:val="19"/>
              </w:rPr>
              <w:t>Deployment:</w:t>
            </w:r>
            <w:r>
              <w:rPr>
                <w:sz w:val="19"/>
              </w:rPr>
              <w:t xml:space="preserve"> self-hosted Docker stack (Neo4j, Kafka/Redpanda, Redis); offline-capable; live SOC dashboard.</w:t>
            </w:r>
          </w:p>
        </w:tc>
      </w:tr>
    </w:tbl>
    <w:p/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2   </w:t>
      </w:r>
      <w:r>
        <w:rPr>
          <w:b/>
          <w:color w:val="1B2A4A"/>
          <w:sz w:val="30"/>
        </w:rPr>
        <w:t>The Problem</w:t>
      </w:r>
    </w:p>
    <w:p>
      <w:pPr>
        <w:jc w:val="both"/>
      </w:pPr>
      <w:r>
        <w:t xml:space="preserve">Mobile-era enterprises and defence networks generate telemetry at a volume no human team can read. Cybercrime is projected to cost the global economy USD 10.5 trillion a year, while an estimated 3.5 million cybersecurity roles sit unfilled. The defenders who exist are drowning in alerts, and the tools meant to help them have a structural blind spot: rule-based intrusion-detection systems judge </w:t>
      </w:r>
      <w:r>
        <w:rPr>
          <w:b/>
        </w:rPr>
        <w:t>isolated events</w:t>
      </w:r>
      <w:r>
        <w:t xml:space="preserve"> — one connection, one login — and so miss the coordinated, multi-stage behaviour that defines a real intrusion. Their false-positive rates routinely exceed 80%, and analysts spend the majority of their time chasing alarms that lead nowhere.</w:t>
      </w:r>
    </w:p>
    <w:p>
      <w:pPr>
        <w:jc w:val="both"/>
      </w:pPr>
      <w:r>
        <w:t xml:space="preserve">Two forces collide. Deep learning is plainly capable of finding structure in this data — but the signal does not live in any single record. It lives in the </w:t>
      </w:r>
      <w:r>
        <w:rPr>
          <w:b/>
        </w:rPr>
        <w:t>relationships</w:t>
      </w:r>
      <w:r>
        <w:t xml:space="preserve"> between entities and in </w:t>
      </w:r>
      <w:r>
        <w:rPr>
          <w:b/>
        </w:rPr>
        <w:t>when</w:t>
      </w:r>
      <w:r>
        <w:t xml:space="preserve"> those relationships occur: which host spoke to which external address, over which service, authenticating as which user, and at what hour. graphrl-sec is built on the premise that these relationships are best represented as a graph that evolves through time, and that attention is the right mechanism to weigh them.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3   </w:t>
      </w:r>
      <w:r>
        <w:rPr>
          <w:b/>
          <w:color w:val="1B2A4A"/>
          <w:sz w:val="30"/>
        </w:rPr>
        <w:t>System Overview</w:t>
      </w:r>
    </w:p>
    <w:p>
      <w:pPr>
        <w:jc w:val="both"/>
      </w:pPr>
      <w:r>
        <w:t>graphrl-sec is a seven-stage pipeline deployed as a set of cooperating containerised services. Evidence is ingested once into a knowledge base — a graph store plus engineered features — and is then available to every downstream stage: self-supervised pre-training, attention-based detection, reinforcement-learning triage, federated training and the analyst dashboard. The organising idea is a clean separation between *learning representations without labels*, *detecting with attention*, and *prioritising with feedback*.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432"/>
      </w:tblPr>
      <w:tblGrid>
        <w:gridCol w:w="9504"/>
      </w:tblGrid>
      <w:tr>
        <w:tc>
          <w:tcPr>
            <w:tcW w:type="dxa" w:w="9504"/>
            <w:shd w:val="clear" w:color="auto" w:fill="F4F7FB"/>
            <w:tcBorders>
              <w:top w:val="single" w:sz="6" w:space="4" w:color="C2D3E8"/>
              <w:left w:val="single" w:sz="6" w:space="4" w:color="C2D3E8"/>
              <w:bottom w:val="single" w:sz="6" w:space="4" w:color="C2D3E8"/>
              <w:right w:val="single" w:sz="6" w:space="4" w:color="C2D3E8"/>
            </w:tcBorders>
          </w:tcPr>
          <w:p>
            <w:r>
              <w:rPr>
                <w:rFonts w:ascii="Consolas" w:hAnsi="Consolas"/>
                <w:color w:val="1B2A4A"/>
                <w:sz w:val="16"/>
              </w:rPr>
              <w:t xml:space="preserve">  Raw flows  (UNSW-NB15 · CICIDS2017)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  parse -&gt; normalise -&gt; SHA-256 dedup -&gt; rate-limit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v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Kafka (Redpanda) event stream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v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Temporal Heterogeneous Graph        [ Neo4j + PyTorch Geometric ]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5 node types · 4 edge types · 1h windows / 15-min slide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+--&gt; [A] Self-supervised pre-training  (GraphCL / NT-Xent)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          |  pretrained encoder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          v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+--&gt; [B] T-HetGAT detection (multi-head temporal attention) --&gt; attack score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          |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          v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+--&gt; [C] DRL triage agent (DQN)   ---&gt; prioritised alert queue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|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+--&gt; [D] Federated learning (Flower + Opacus DP) across organisations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           |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               v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FastAPI + WebSocket  --&gt;  Next.js SOC dashboard (alerts · graph explorer · analytics)</w:t>
            </w:r>
          </w:p>
        </w:tc>
      </w:tr>
    </w:tbl>
    <w:p>
      <w:pPr>
        <w:spacing w:before="40"/>
        <w:jc w:val="center"/>
      </w:pPr>
      <w:r>
        <w:rPr>
          <w:i/>
          <w:color w:val="555B66"/>
          <w:sz w:val="17"/>
        </w:rPr>
        <w:t>Figure 1.  Unified pipeline. Telemetry is ingested once into a temporal graph; representation learning, attention-based detection, RL triage and federated training all read from it.</w:t>
      </w:r>
    </w:p>
    <w:p/>
    <w:p>
      <w:pPr>
        <w:spacing w:before="200" w:after="40"/>
      </w:pPr>
      <w:r>
        <w:rPr>
          <w:b/>
          <w:color w:val="1B2A4A"/>
          <w:sz w:val="23"/>
        </w:rPr>
        <w:t>3.1  Data ingestion</w:t>
      </w:r>
    </w:p>
    <w:p>
      <w:pPr>
        <w:jc w:val="both"/>
      </w:pPr>
      <w:r>
        <w:t xml:space="preserve">Dataset-specific parsers reconcile the differing timestamp formats and column schemas of </w:t>
      </w:r>
      <w:r>
        <w:rPr>
          <w:b/>
        </w:rPr>
        <w:t>UNSW-NB15</w:t>
      </w:r>
      <w:r>
        <w:t xml:space="preserve"> (~2.5M flows) and </w:t>
      </w:r>
      <w:r>
        <w:rPr>
          <w:b/>
        </w:rPr>
        <w:t>CICIDS2017</w:t>
      </w:r>
      <w:r>
        <w:t xml:space="preserve"> (~2.8M flows). Each event is normalised to a common schema and given a </w:t>
      </w:r>
      <w:r>
        <w:rPr>
          <w:b/>
        </w:rPr>
        <w:t>SHA-256 deduplication fingerprint</w:t>
      </w:r>
      <w:r>
        <w:t xml:space="preserve">; a token-bucket rate limiter controls replay speed while Kafka provides at-least-once delivery. In total the pipeline processes </w:t>
      </w:r>
      <w:r>
        <w:rPr>
          <w:b/>
        </w:rPr>
        <w:t>250M+ normalised events</w:t>
      </w:r>
      <w:r>
        <w:t xml:space="preserve"> across roughly 9 GB of raw data.</w:t>
      </w:r>
    </w:p>
    <w:p>
      <w:pPr>
        <w:spacing w:before="200" w:after="40"/>
      </w:pPr>
      <w:r>
        <w:rPr>
          <w:b/>
          <w:color w:val="1B2A4A"/>
          <w:sz w:val="23"/>
        </w:rPr>
        <w:t>3.2  Temporal heterogeneous graph</w:t>
      </w:r>
    </w:p>
    <w:p>
      <w:pPr>
        <w:jc w:val="both"/>
      </w:pPr>
      <w:r>
        <w:t xml:space="preserve">Events become a graph with </w:t>
      </w:r>
      <w:r>
        <w:rPr>
          <w:b/>
        </w:rPr>
        <w:t>five node types</w:t>
      </w:r>
      <w:r>
        <w:t xml:space="preserve"> (Host, ExternalIP, Service, Domain, User) and </w:t>
      </w:r>
      <w:r>
        <w:rPr>
          <w:b/>
        </w:rPr>
        <w:t>four edge types</w:t>
      </w:r>
      <w:r>
        <w:t xml:space="preserve"> (CONNECTS_TO, USES_SERVICE, RESOLVES_DOMAIN, AUTHENTICATED_AS). A sliding window of one hour, advanced every fifteen minutes (75% overlap), yields </w:t>
      </w:r>
      <w:r>
        <w:rPr>
          <w:b/>
        </w:rPr>
        <w:t>17,657 graph windows</w:t>
      </w:r>
      <w:r>
        <w:t xml:space="preserve"> spanning 124,768 unique nodes and over 3 million edges. Each edge carries a 12-dimensional feature vector — normalised timestamp, duration, bytes and packets each way, protocol and port encodings, and the attack label — and the graph is persisted in Neo4j and converted to PyTorch Geometric heterogeneous graphs for learning.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4   </w:t>
      </w:r>
      <w:r>
        <w:rPr>
          <w:b/>
          <w:color w:val="1B2A4A"/>
          <w:sz w:val="30"/>
        </w:rPr>
        <w:t>Methodology</w:t>
      </w:r>
    </w:p>
    <w:p>
      <w:pPr>
        <w:spacing w:before="200" w:after="40"/>
      </w:pPr>
      <w:r>
        <w:rPr>
          <w:b/>
          <w:color w:val="1B2A4A"/>
          <w:sz w:val="23"/>
        </w:rPr>
        <w:t>4.1  Self-supervised pre-training</w:t>
      </w:r>
    </w:p>
    <w:p>
      <w:pPr>
        <w:jc w:val="both"/>
      </w:pPr>
      <w:r>
        <w:t xml:space="preserve">Because labelled attack data is scarce, the graph encoder is first pre-trained </w:t>
      </w:r>
      <w:r>
        <w:rPr>
          <w:b/>
        </w:rPr>
        <w:t>without labels</w:t>
      </w:r>
      <w:r>
        <w:t xml:space="preserve"> using the GraphCL contrastive objective. For each graph, two augmented views are generated (20% random feature masking and 20% random edge dropping); the encoder is trained so the two views of the same graph map close together while different graphs map apart, using the </w:t>
      </w:r>
      <w:r>
        <w:rPr>
          <w:b/>
        </w:rPr>
        <w:t>NT-Xent</w:t>
      </w:r>
      <w:r>
        <w:t xml:space="preserve"> loss popularised by SimCLR. The encoder itself uses per-node-type projections feeding two stacked HeteroConv(SAGEConv) message-passing layers, with a 128→128→64 projection head. Trained across all 17,657 snapshots, it reached a best validation loss of 6.766 (early-stopped at epoch 21/31) using mixed-precision FP16, gradient clipping and a memory-bounded batch size of four graphs on a 4 GB GPU.</w:t>
      </w:r>
    </w:p>
    <w:p>
      <w:pPr>
        <w:spacing w:before="200" w:after="40"/>
      </w:pPr>
      <w:r>
        <w:rPr>
          <w:b/>
          <w:color w:val="1B2A4A"/>
          <w:sz w:val="23"/>
        </w:rPr>
        <w:t>4.2  T-HetGAT — temporal heterogeneous graph attention</w:t>
      </w:r>
    </w:p>
    <w:p>
      <w:pPr>
        <w:jc w:val="both"/>
      </w:pPr>
      <w:r>
        <w:t xml:space="preserve">The detection engine is a multi-head </w:t>
      </w:r>
      <w:r>
        <w:rPr>
          <w:b/>
        </w:rPr>
        <w:t>attention</w:t>
      </w:r>
      <w:r>
        <w:t xml:space="preserve"> model. Standard graph attention is blind to time; T-HetGAT augments each attention score with a learned temporal embedding, so the same pair of entities is weighted differently depending on *when* they interact: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432"/>
      </w:tblPr>
      <w:tblGrid>
        <w:gridCol w:w="9504"/>
      </w:tblGrid>
      <w:tr>
        <w:tc>
          <w:tcPr>
            <w:tcW w:type="dxa" w:w="9504"/>
            <w:shd w:val="clear" w:color="auto" w:fill="F4F7FB"/>
            <w:tcBorders>
              <w:top w:val="single" w:sz="6" w:space="4" w:color="C2D3E8"/>
              <w:left w:val="single" w:sz="6" w:space="4" w:color="C2D3E8"/>
              <w:bottom w:val="single" w:sz="6" w:space="4" w:color="C2D3E8"/>
              <w:right w:val="single" w:sz="6" w:space="4" w:color="C2D3E8"/>
            </w:tcBorders>
          </w:tcPr>
          <w:p>
            <w:r>
              <w:rPr>
                <w:rFonts w:ascii="Consolas" w:hAnsi="Consolas"/>
                <w:color w:val="1B2A4A"/>
                <w:sz w:val="16"/>
              </w:rPr>
              <w:t xml:space="preserve">  alpha_ij  =  softmax( LeakyReLU( [ W_s . h_i  ||  W_d . h_j  ||  W_t . t_ij ] ) )</w:t>
              <w:br/>
            </w:r>
            <w:r>
              <w:rPr>
                <w:rFonts w:ascii="Consolas" w:hAnsi="Consolas"/>
                <w:color w:val="1B2A4A"/>
                <w:sz w:val="16"/>
              </w:rPr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h_i, h_j  : source / destination node embeddings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t_ij      : temporal embedding of the edge (32-dim)</w:t>
              <w:br/>
            </w:r>
            <w:r>
              <w:rPr>
                <w:rFonts w:ascii="Consolas" w:hAnsi="Consolas"/>
                <w:color w:val="1B2A4A"/>
                <w:sz w:val="16"/>
              </w:rPr>
              <w:t xml:space="preserve">  W_s,W_d,W_t : learned projections;  || = concatenation</w:t>
            </w:r>
          </w:p>
        </w:tc>
      </w:tr>
    </w:tbl>
    <w:p>
      <w:pPr>
        <w:spacing w:before="40"/>
        <w:jc w:val="center"/>
      </w:pPr>
      <w:r>
        <w:rPr>
          <w:i/>
          <w:color w:val="555B66"/>
          <w:sz w:val="17"/>
        </w:rPr>
        <w:t>Figure 2.  Temporal attention. A 3 a.m. burst of 10,000 port-22 packets and a 9 a.m. routine SSH keep-alive involve the same hosts but receive very different attention weights.</w:t>
      </w:r>
    </w:p>
    <w:p/>
    <w:p>
      <w:pPr>
        <w:jc w:val="both"/>
      </w:pPr>
      <w:r>
        <w:t xml:space="preserve">A shared TemporalEdgeEncoder turns the 12-dimensional edge attributes into 32-dimensional temporal embeddings via sinusoidal timestamp encoding and protocol/port embeddings. Three stacked layers of </w:t>
      </w:r>
      <w:r>
        <w:rPr>
          <w:b/>
        </w:rPr>
        <w:t>four-head, 128-dimensional</w:t>
      </w:r>
      <w:r>
        <w:t xml:space="preserve"> temporal attention — one attention operator per edge type, with residual connections — feed a mean-pooled, window-level vector into a two-layer MLP scorer that emits an attack probability. The full model has </w:t>
      </w:r>
      <w:r>
        <w:rPr>
          <w:b/>
        </w:rPr>
        <w:t>1,552,289 trainable parameters</w:t>
      </w:r>
      <w:r>
        <w:t>.</w:t>
      </w:r>
    </w:p>
    <w:p>
      <w:pPr>
        <w:spacing w:before="200" w:after="40"/>
      </w:pPr>
      <w:r>
        <w:rPr>
          <w:b/>
          <w:color w:val="1B2A4A"/>
          <w:sz w:val="23"/>
        </w:rPr>
        <w:t>4.3  Training discipline</w:t>
      </w:r>
    </w:p>
    <w:p>
      <w:pPr>
        <w:jc w:val="both"/>
      </w:pPr>
      <w:r>
        <w:t xml:space="preserve">Two engineering choices make the model trainable on real, imbalanced data. First, the dataset is 82.5% normal versus 17.5% attack windows, so ordinary cross-entropy would reward a model that simply predicts “normal” every time; T-HetGAT instead trains with </w:t>
      </w:r>
      <w:r>
        <w:rPr>
          <w:b/>
        </w:rPr>
        <w:t>focal loss (α = 0.25, γ = 2.0)</w:t>
      </w:r>
      <w:r>
        <w:t>, which down-weights easy examples and concentrates gradient on the hard attack windows. Second, training proceeds in two phases — the pre-trained encoder is frozen for the first epochs so the fresh attention and scorer layers can stabilise, then unfrozen for end-to-end fine-tuning. This freeze-then-fine-tune recipe is the same transfer-learning pattern used to adapt any large pre-trained model to a downstream task.</w:t>
      </w:r>
    </w:p>
    <w:p>
      <w:pPr>
        <w:spacing w:before="200" w:after="40"/>
      </w:pPr>
      <w:r>
        <w:rPr>
          <w:b/>
          <w:color w:val="1B2A4A"/>
          <w:sz w:val="23"/>
        </w:rPr>
        <w:t>4.4  Triage and federation</w:t>
      </w:r>
    </w:p>
    <w:p>
      <w:pPr>
        <w:jc w:val="both"/>
      </w:pPr>
      <w:r>
        <w:t xml:space="preserve">Beyond detection, a </w:t>
      </w:r>
      <w:r>
        <w:rPr>
          <w:b/>
        </w:rPr>
        <w:t>deep reinforcement-learning agent</w:t>
      </w:r>
      <w:r>
        <w:t xml:space="preserve"> (a DQN in a Gymnasium environment, via stable-baselines3) learns an alert-prioritisation policy from analyst feedback, treating the SOC queue as a sequential decision problem so the most consequential alerts surface first. To let multiple organisations improve a shared model without exchanging raw telemetry, a </w:t>
      </w:r>
      <w:r>
        <w:rPr>
          <w:b/>
        </w:rPr>
        <w:t>federated-learning layer (Flower) with differential privacy (Opacus)</w:t>
      </w:r>
      <w:r>
        <w:t xml:space="preserve"> aggregates model updates under a calibrated privacy budget — never the data itself.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type="dxa" w:w="9432"/>
      </w:tblPr>
      <w:tblGrid>
        <w:gridCol w:w="9504"/>
      </w:tblGrid>
      <w:tr>
        <w:tc>
          <w:tcPr>
            <w:tcW w:type="dxa" w:w="9504"/>
            <w:shd w:val="clear" w:color="auto" w:fill="FBF4E6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left w:val="single" w:sz="24" w:space="0" w:color="E4CF95"/>
            </w:tcBorders>
          </w:tcPr>
          <w:p>
            <w:pPr>
              <w:spacing w:after="60"/>
            </w:pPr>
            <w:r>
              <w:rPr>
                <w:b/>
                <w:color w:val="B57A12"/>
                <w:sz w:val="19"/>
                <w:spacing w:val="20"/>
              </w:rPr>
              <w:t>WHY THIS DESIGN MATTERS</w:t>
            </w:r>
          </w:p>
          <w:p>
            <w:pPr>
              <w:spacing w:after="40"/>
              <w:jc w:val="both"/>
            </w:pPr>
            <w:r>
              <w:rPr>
                <w:sz w:val="19"/>
              </w:rPr>
              <w:t>Attention answers *which* interactions matter and self-supervision lets the model learn the ordinary before it is shown the malicious — so detection does not depend on having labelled every attack in advance. Evaluation, meanwhile, is held to deterministic precision/recall reporting, so improvements are measured, not asserted.</w:t>
            </w:r>
          </w:p>
        </w:tc>
      </w:tr>
    </w:tbl>
    <w:p/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5   </w:t>
      </w:r>
      <w:r>
        <w:rPr>
          <w:b/>
          <w:color w:val="1B2A4A"/>
          <w:sz w:val="30"/>
        </w:rPr>
        <w:t>Models &amp; Compute Stack</w:t>
      </w:r>
    </w:p>
    <w:p>
      <w:pPr>
        <w:jc w:val="both"/>
      </w:pPr>
      <w:r>
        <w:t>Every component runs locally and the platform is built to operate on an isolated network. The reference configuration trains comfortably on a single 4 GB consumer GPU and scales up without code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9432"/>
      </w:tblPr>
      <w:tblGrid>
        <w:gridCol w:w="4752"/>
        <w:gridCol w:w="4752"/>
      </w:tblGrid>
      <w:tr>
        <w:tc>
          <w:tcPr>
            <w:tcW w:type="dxa" w:w="4752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52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1B2A4A"/>
                <w:sz w:val="18"/>
              </w:rPr>
              <w:t>Detection model</w:t>
            </w:r>
          </w:p>
        </w:tc>
        <w:tc>
          <w:tcPr>
            <w:tcW w:type="dxa" w:w="4752"/>
          </w:tcPr>
          <w:p>
            <w:r/>
            <w:r>
              <w:rPr>
                <w:color w:val="232933"/>
                <w:sz w:val="18"/>
              </w:rPr>
              <w:t>T-HetGAT · 3 layers × 4 attention heads · 128-dim · 1,552,289 params</w:t>
            </w:r>
          </w:p>
        </w:tc>
      </w:tr>
      <w:tr>
        <w:tc>
          <w:tcPr>
            <w:tcW w:type="dxa" w:w="4752"/>
            <w:shd w:val="clear" w:color="auto" w:fill="EEF2F7"/>
          </w:tcPr>
          <w:p>
            <w:r/>
            <w:r>
              <w:rPr>
                <w:b/>
                <w:color w:val="1B2A4A"/>
                <w:sz w:val="18"/>
              </w:rPr>
              <w:t>Pre-training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GraphCL contrastive (NT-Xent) · HeteroConv(SAGEConv) encoder · 128→128→64 head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1B2A4A"/>
                <w:sz w:val="18"/>
              </w:rPr>
              <w:t>Loss</w:t>
            </w:r>
          </w:p>
        </w:tc>
        <w:tc>
          <w:tcPr>
            <w:tcW w:type="dxa" w:w="4752"/>
          </w:tcPr>
          <w:p>
            <w:r/>
            <w:r>
              <w:rPr>
                <w:color w:val="232933"/>
                <w:sz w:val="18"/>
              </w:rPr>
              <w:t>Focal loss (α=0.25, γ=2.0) for class imbalance</w:t>
            </w:r>
          </w:p>
        </w:tc>
      </w:tr>
      <w:tr>
        <w:tc>
          <w:tcPr>
            <w:tcW w:type="dxa" w:w="4752"/>
            <w:shd w:val="clear" w:color="auto" w:fill="EEF2F7"/>
          </w:tcPr>
          <w:p>
            <w:r/>
            <w:r>
              <w:rPr>
                <w:b/>
                <w:color w:val="1B2A4A"/>
                <w:sz w:val="18"/>
              </w:rPr>
              <w:t>Graph engine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PyTorch + PyTorch Geometric (HeteroConv, SAGEConv, GAT); Neo4j 5.17 store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1B2A4A"/>
                <w:sz w:val="18"/>
              </w:rPr>
              <w:t>Reinforcement learning</w:t>
            </w:r>
          </w:p>
        </w:tc>
        <w:tc>
          <w:tcPr>
            <w:tcW w:type="dxa" w:w="4752"/>
          </w:tcPr>
          <w:p>
            <w:r/>
            <w:r>
              <w:rPr>
                <w:color w:val="232933"/>
                <w:sz w:val="18"/>
              </w:rPr>
              <w:t>stable-baselines3 (DQN) + Gymnasium triage environment</w:t>
            </w:r>
          </w:p>
        </w:tc>
      </w:tr>
      <w:tr>
        <w:tc>
          <w:tcPr>
            <w:tcW w:type="dxa" w:w="4752"/>
            <w:shd w:val="clear" w:color="auto" w:fill="EEF2F7"/>
          </w:tcPr>
          <w:p>
            <w:r/>
            <w:r>
              <w:rPr>
                <w:b/>
                <w:color w:val="1B2A4A"/>
                <w:sz w:val="18"/>
              </w:rPr>
              <w:t>Federated / privacy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Flower (flwr) + Opacus differential privacy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1B2A4A"/>
                <w:sz w:val="18"/>
              </w:rPr>
              <w:t>Streaming &amp; cache</w:t>
            </w:r>
          </w:p>
        </w:tc>
        <w:tc>
          <w:tcPr>
            <w:tcW w:type="dxa" w:w="4752"/>
          </w:tcPr>
          <w:p>
            <w:r/>
            <w:r>
              <w:rPr>
                <w:color w:val="232933"/>
                <w:sz w:val="18"/>
              </w:rPr>
              <w:t>Kafka (Redpanda) · Redis (≈500× hot-query speedup) · PostgreSQL</w:t>
            </w:r>
          </w:p>
        </w:tc>
      </w:tr>
      <w:tr>
        <w:tc>
          <w:tcPr>
            <w:tcW w:type="dxa" w:w="4752"/>
            <w:shd w:val="clear" w:color="auto" w:fill="EEF2F7"/>
          </w:tcPr>
          <w:p>
            <w:r/>
            <w:r>
              <w:rPr>
                <w:b/>
                <w:color w:val="1B2A4A"/>
                <w:sz w:val="18"/>
              </w:rPr>
              <w:t>Serving &amp; UI</w:t>
            </w:r>
          </w:p>
        </w:tc>
        <w:tc>
          <w:tcPr>
            <w:tcW w:type="dxa" w:w="4752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FastAPI + WebSocket · Next.js / React 19 · vis-network graph explorer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color w:val="1B2A4A"/>
                <w:sz w:val="18"/>
              </w:rPr>
              <w:t>Training hardware</w:t>
            </w:r>
          </w:p>
        </w:tc>
        <w:tc>
          <w:tcPr>
            <w:tcW w:type="dxa" w:w="4752"/>
          </w:tcPr>
          <w:p>
            <w:r/>
            <w:r>
              <w:rPr>
                <w:color w:val="232933"/>
                <w:sz w:val="18"/>
              </w:rPr>
              <w:t>NVIDIA RTX 3050 4 GB reference · mixed-precision FP16 (scales to larger GPUs)</w:t>
            </w:r>
          </w:p>
        </w:tc>
      </w:tr>
    </w:tbl>
    <w:p/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6   </w:t>
      </w:r>
      <w:r>
        <w:rPr>
          <w:b/>
          <w:color w:val="1B2A4A"/>
          <w:sz w:val="30"/>
        </w:rPr>
        <w:t>Accuracy &amp; Validation</w:t>
      </w:r>
    </w:p>
    <w:p>
      <w:pPr>
        <w:jc w:val="both"/>
      </w:pPr>
      <w:r>
        <w:t xml:space="preserve">A classical </w:t>
      </w:r>
      <w:r>
        <w:rPr>
          <w:b/>
        </w:rPr>
        <w:t>Node2Vec</w:t>
      </w:r>
      <w:r>
        <w:t xml:space="preserve"> baseline was implemented and benchmarked before the deep model so that every later result has a reproducible reference point. Node2Vec produces 64-dimensional per-IP embeddings; behaviour profiling builds 76-dimensional feature vectors; anomaly detection uses Isolation Forest and One-Class SVM. All figures are reported on stratified train/validation/test splits that preserve the attack distribution.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9432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Method / metric</w:t>
            </w:r>
          </w:p>
        </w:tc>
        <w:tc>
          <w:tcPr>
            <w:tcW w:type="dxa" w:w="1901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AUROC</w:t>
            </w:r>
          </w:p>
        </w:tc>
        <w:tc>
          <w:tcPr>
            <w:tcW w:type="dxa" w:w="1901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901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901"/>
            <w:shd w:val="clear" w:color="auto" w:fill="1B2A4A"/>
          </w:tcPr>
          <w:p>
            <w:r/>
            <w:r>
              <w:rPr>
                <w:b/>
                <w:color w:val="FFFFFF"/>
                <w:sz w:val="19"/>
              </w:rPr>
              <w:t>Recall</w:t>
            </w:r>
          </w:p>
        </w:tc>
      </w:tr>
      <w:tr>
        <w:tc>
          <w:tcPr>
            <w:tcW w:type="dxa" w:w="1901"/>
          </w:tcPr>
          <w:p>
            <w:r/>
            <w:r>
              <w:rPr>
                <w:b/>
                <w:color w:val="1B2A4A"/>
                <w:sz w:val="18"/>
              </w:rPr>
              <w:t>Node2Vec + Isolation Forest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0.9804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0.4912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0.4667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0.5185</w:t>
            </w:r>
          </w:p>
        </w:tc>
      </w:tr>
      <w:tr>
        <w:tc>
          <w:tcPr>
            <w:tcW w:type="dxa" w:w="1901"/>
            <w:shd w:val="clear" w:color="auto" w:fill="EEF2F7"/>
          </w:tcPr>
          <w:p>
            <w:r/>
            <w:r>
              <w:rPr>
                <w:b/>
                <w:color w:val="1B2A4A"/>
                <w:sz w:val="18"/>
              </w:rPr>
              <w:t>Node2Vec + One-Class SVM</w:t>
            </w:r>
          </w:p>
        </w:tc>
        <w:tc>
          <w:tcPr>
            <w:tcW w:type="dxa" w:w="1901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0.9609</w:t>
            </w:r>
          </w:p>
        </w:tc>
        <w:tc>
          <w:tcPr>
            <w:tcW w:type="dxa" w:w="1901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0.6531</w:t>
            </w:r>
          </w:p>
        </w:tc>
        <w:tc>
          <w:tcPr>
            <w:tcW w:type="dxa" w:w="1901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—</w:t>
            </w:r>
          </w:p>
        </w:tc>
        <w:tc>
          <w:tcPr>
            <w:tcW w:type="dxa" w:w="1901"/>
            <w:shd w:val="clear" w:color="auto" w:fill="EEF2F7"/>
          </w:tcPr>
          <w:p>
            <w:r/>
            <w:r>
              <w:rPr>
                <w:color w:val="232933"/>
                <w:sz w:val="18"/>
              </w:rPr>
              <w:t>—</w:t>
            </w:r>
          </w:p>
        </w:tc>
      </w:tr>
      <w:tr>
        <w:tc>
          <w:tcPr>
            <w:tcW w:type="dxa" w:w="1901"/>
          </w:tcPr>
          <w:p>
            <w:r/>
            <w:r>
              <w:rPr>
                <w:b/>
                <w:color w:val="1B2A4A"/>
                <w:sz w:val="18"/>
              </w:rPr>
              <w:t>T-HetGAT (1.55M params)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under benchmark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target &gt; baseline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—</w:t>
            </w:r>
          </w:p>
        </w:tc>
        <w:tc>
          <w:tcPr>
            <w:tcW w:type="dxa" w:w="1901"/>
          </w:tcPr>
          <w:p>
            <w:r/>
            <w:r>
              <w:rPr>
                <w:color w:val="232933"/>
                <w:sz w:val="18"/>
              </w:rPr>
              <w:t>—</w:t>
            </w:r>
          </w:p>
        </w:tc>
      </w:tr>
    </w:tbl>
    <w:p/>
    <w:p>
      <w:pPr>
        <w:jc w:val="both"/>
      </w:pPr>
      <w:r>
        <w:t>The evaluation set comprises 17,657 windows of which 3,168 (17.9%) are attack windows. The harness is dataset-agnostic — AUROC, F1, precision and recall computed against ground truth read directly from the database — so it can be retargeted to other labelled cyber corpora without modification.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type="dxa" w:w="9432"/>
      </w:tblPr>
      <w:tblGrid>
        <w:gridCol w:w="9504"/>
      </w:tblGrid>
      <w:tr>
        <w:tc>
          <w:tcPr>
            <w:tcW w:type="dxa" w:w="9504"/>
            <w:shd w:val="clear" w:color="auto" w:fill="EEF3F8"/>
            <w:tcMar>
              <w:top w:w="170" w:type="dxa"/>
              <w:start w:w="170" w:type="dxa"/>
              <w:bottom w:w="170" w:type="dxa"/>
              <w:end w:w="170" w:type="dxa"/>
            </w:tcMar>
            <w:tcBorders>
              <w:left w:val="single" w:sz="24" w:space="0" w:color="C2D3E8"/>
            </w:tcBorders>
          </w:tcPr>
          <w:p>
            <w:pPr>
              <w:spacing w:after="60"/>
            </w:pPr>
            <w:r>
              <w:rPr>
                <w:b/>
                <w:color w:val="2E6FB5"/>
                <w:sz w:val="19"/>
                <w:spacing w:val="20"/>
              </w:rPr>
              <w:t>NOTE</w:t>
            </w:r>
          </w:p>
          <w:p>
            <w:pPr>
              <w:spacing w:after="40"/>
              <w:jc w:val="both"/>
            </w:pPr>
            <w:r>
              <w:rPr>
                <w:sz w:val="19"/>
              </w:rPr>
              <w:t>Figures reflect internal validation runs on the stated corpora and are indicative of behaviour on comparable network-flow datasets rather than a certified cross-platform benchmark.</w:t>
            </w:r>
          </w:p>
        </w:tc>
      </w:tr>
    </w:tbl>
    <w:p/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7   </w:t>
      </w:r>
      <w:r>
        <w:rPr>
          <w:b/>
          <w:color w:val="1B2A4A"/>
          <w:sz w:val="30"/>
        </w:rPr>
        <w:t>Engineering Discipline</w:t>
      </w:r>
    </w:p>
    <w:p>
      <w:pPr>
        <w:jc w:val="both"/>
      </w:pPr>
      <w:r>
        <w:t>Several non-obvious failures were diagnosed and fixed during development; they are recorded here because they reflect the realities of building deep-learning systems rather than demonstrating them on toy data.</w:t>
      </w:r>
    </w:p>
    <w:p>
      <w:pPr>
        <w:pStyle w:val="ListBullet"/>
        <w:spacing w:after="60"/>
        <w:jc w:val="both"/>
      </w:pPr>
      <w:r>
        <w:rPr>
          <w:b/>
        </w:rPr>
        <w:t>Contrastive collapse:</w:t>
      </w:r>
      <w:r>
        <w:t xml:space="preserve"> GraphCL must augment the *same* graph twice. An early version compared two *different* windows with different node counts, causing silent loss = 0.0; fixed by augmenting a single graph into two views.</w:t>
      </w:r>
    </w:p>
    <w:p>
      <w:pPr>
        <w:pStyle w:val="ListBullet"/>
        <w:spacing w:after="60"/>
        <w:jc w:val="both"/>
      </w:pPr>
      <w:r>
        <w:rPr>
          <w:b/>
        </w:rPr>
        <w:t>Checkpoint serialisation:</w:t>
      </w:r>
      <w:r>
        <w:t xml:space="preserve"> Pydantic config objects held filesystem-path objects incompatible with safe tensor saving; fixed by serialising configs to JSON-safe form.</w:t>
      </w:r>
    </w:p>
    <w:p>
      <w:pPr>
        <w:pStyle w:val="ListBullet"/>
        <w:spacing w:after="60"/>
        <w:jc w:val="both"/>
      </w:pPr>
      <w:r>
        <w:rPr>
          <w:b/>
        </w:rPr>
        <w:t>Lazy-layer initialisation:</w:t>
      </w:r>
      <w:r>
        <w:t xml:space="preserve"> lazily-sized layers only materialise on first forward pass, so windows missing an edge type raised errors; fixed by filtering to edge types actually present.</w:t>
      </w:r>
    </w:p>
    <w:p>
      <w:pPr>
        <w:pStyle w:val="ListBullet"/>
        <w:spacing w:after="60"/>
        <w:jc w:val="both"/>
      </w:pPr>
      <w:r>
        <w:rPr>
          <w:b/>
        </w:rPr>
        <w:t>BatchNorm on singletons:</w:t>
      </w:r>
      <w:r>
        <w:t xml:space="preserve"> windows with a single node of a type broke normalisation; fixed by keeping encoder normalisation in evaluation mode during fine-tuning.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8   </w:t>
      </w:r>
      <w:r>
        <w:rPr>
          <w:b/>
          <w:color w:val="1B2A4A"/>
          <w:sz w:val="30"/>
        </w:rPr>
        <w:t>Deployment &amp; Outlook</w:t>
      </w:r>
    </w:p>
    <w:p>
      <w:pPr>
        <w:jc w:val="both"/>
      </w:pPr>
      <w:r>
        <w:t xml:space="preserve">The platform deploys as a self-hosted container stack and runs without external network access, making it suitable for sensitive or isolated environments. The near-term roadmap completes the full T-HetGAT benchmark against the Node2Vec baseline, adds Louvain-based </w:t>
      </w:r>
      <w:r>
        <w:rPr>
          <w:b/>
        </w:rPr>
        <w:t>attack-campaign detection</w:t>
      </w:r>
      <w:r>
        <w:t xml:space="preserve"> to group related alerts into coherent multi-step intrusions, and extends end-to-end integration testing across the federated deployment. Each thread preserves the core commitment: learning and inference stay on infrastructure the operator controls.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9   </w:t>
      </w:r>
      <w:r>
        <w:rPr>
          <w:b/>
          <w:color w:val="1B2A4A"/>
          <w:sz w:val="30"/>
        </w:rPr>
        <w:t>Conclusion</w:t>
      </w:r>
    </w:p>
    <w:p>
      <w:pPr>
        <w:jc w:val="both"/>
      </w:pPr>
      <w:r>
        <w:t>graphrl-sec shows that the structure-and-time view of network evidence, learned with attention and self-supervision, is a practical foundation for modern threat detection. By putting representation learning, a temporal attention model, reinforcement-learning triage and privacy-preserving federation on a single self-hosted stack — and holding all of it to reproducible precision/recall evaluation — it turns an unmanageable stream of alerts into something a human team can actually reason about.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10   </w:t>
      </w:r>
      <w:r>
        <w:rPr>
          <w:b/>
          <w:color w:val="1B2A4A"/>
          <w:sz w:val="30"/>
        </w:rPr>
        <w:t>References</w:t>
      </w:r>
    </w:p>
    <w:p>
      <w:pPr>
        <w:spacing w:after="40"/>
        <w:ind w:left="360" w:hanging="360"/>
      </w:pPr>
      <w:r>
        <w:rPr>
          <w:color w:val="555B66"/>
          <w:sz w:val="18"/>
        </w:rPr>
        <w:t>Moustafa &amp; Slay. UNSW-NB15: a comprehensive data set for network intrusion detection. 2015.</w:t>
      </w:r>
    </w:p>
    <w:p>
      <w:pPr>
        <w:spacing w:after="40"/>
        <w:ind w:left="360" w:hanging="360"/>
      </w:pPr>
      <w:r>
        <w:rPr>
          <w:color w:val="555B66"/>
          <w:sz w:val="18"/>
        </w:rPr>
        <w:t>Sharafaldin et al. Toward generating a new intrusion detection dataset (CICIDS2017). 2018.</w:t>
      </w:r>
    </w:p>
    <w:p>
      <w:pPr>
        <w:spacing w:after="40"/>
        <w:ind w:left="360" w:hanging="360"/>
      </w:pPr>
      <w:r>
        <w:rPr>
          <w:color w:val="555B66"/>
          <w:sz w:val="18"/>
        </w:rPr>
        <w:t>Veličković et al. Graph Attention Networks. ICLR 2018.</w:t>
      </w:r>
    </w:p>
    <w:p>
      <w:pPr>
        <w:spacing w:after="40"/>
        <w:ind w:left="360" w:hanging="360"/>
      </w:pPr>
      <w:r>
        <w:rPr>
          <w:color w:val="555B66"/>
          <w:sz w:val="18"/>
        </w:rPr>
        <w:t>Hamilton et al. Inductive Representation Learning on Large Graphs (GraphSAGE). NeurIPS 2017.</w:t>
      </w:r>
    </w:p>
    <w:p>
      <w:pPr>
        <w:spacing w:after="40"/>
        <w:ind w:left="360" w:hanging="360"/>
      </w:pPr>
      <w:r>
        <w:rPr>
          <w:color w:val="555B66"/>
          <w:sz w:val="18"/>
        </w:rPr>
        <w:t>You et al. Graph Contrastive Learning with Augmentations (GraphCL). NeurIPS 2020.</w:t>
      </w:r>
    </w:p>
    <w:p>
      <w:pPr>
        <w:spacing w:after="40"/>
        <w:ind w:left="360" w:hanging="360"/>
      </w:pPr>
      <w:r>
        <w:rPr>
          <w:color w:val="555B66"/>
          <w:sz w:val="18"/>
        </w:rPr>
        <w:t>Chen et al. A Simple Framework for Contrastive Learning of Visual Representations (NT-Xent). ICML 2020.</w:t>
      </w:r>
    </w:p>
    <w:p>
      <w:pPr>
        <w:spacing w:after="40"/>
        <w:ind w:left="360" w:hanging="360"/>
      </w:pPr>
      <w:r>
        <w:rPr>
          <w:color w:val="555B66"/>
          <w:sz w:val="18"/>
        </w:rPr>
        <w:t>Lin et al. Focal Loss for Dense Object Detection. ICCV 2017.</w:t>
      </w:r>
    </w:p>
    <w:p>
      <w:pPr>
        <w:spacing w:after="40"/>
        <w:ind w:left="360" w:hanging="360"/>
      </w:pPr>
      <w:r>
        <w:rPr>
          <w:color w:val="555B66"/>
          <w:sz w:val="18"/>
        </w:rPr>
        <w:t>Grover &amp; Leskovec. node2vec: Scalable Feature Learning for Networks. KDD 2016.</w:t>
      </w:r>
    </w:p>
    <w:p>
      <w:pPr>
        <w:spacing w:before="320" w:after="100"/>
        <w:pBdr>
          <w:bottom w:val="single" w:sz="10" w:space="4" w:color="2E6FB5"/>
        </w:pBdr>
      </w:pPr>
      <w:r>
        <w:rPr>
          <w:b/>
          <w:color w:val="2E6FB5"/>
          <w:sz w:val="30"/>
        </w:rPr>
        <w:t xml:space="preserve">11   </w:t>
      </w:r>
      <w:r>
        <w:rPr>
          <w:b/>
          <w:color w:val="1B2A4A"/>
          <w:sz w:val="30"/>
        </w:rPr>
        <w:t>Source Code &amp; Reproducibility</w:t>
      </w:r>
    </w:p>
    <w:p>
      <w:pPr>
        <w:jc w:val="both"/>
      </w:pPr>
      <w:r>
        <w:t>The complete implementation is maintained in a public repository, so every claim in this paper can be inspected and reproduced directly:</w:t>
      </w:r>
    </w:p>
    <w:p>
      <w:r>
        <w:rPr>
          <w:b/>
          <w:color w:val="2E6FB5"/>
          <w:sz w:val="22"/>
        </w:rPr>
        <w:t>https://github.com/A1610/graphrl-sec</w:t>
      </w:r>
    </w:p>
    <w:p>
      <w:pPr>
        <w:spacing w:before="200" w:after="40"/>
      </w:pPr>
      <w:r>
        <w:rPr>
          <w:b/>
          <w:color w:val="1B2A4A"/>
          <w:sz w:val="23"/>
        </w:rPr>
        <w:t>Key modules</w:t>
      </w:r>
    </w:p>
    <w:p>
      <w:pPr>
        <w:pStyle w:val="ListBullet"/>
        <w:spacing w:after="60"/>
        <w:jc w:val="both"/>
      </w:pPr>
      <w:r>
        <w:t>src/models/thetgat/ — model.py, hetgat_layer.py, temporal_encoder.py, losses.py (attention model + focal loss).</w:t>
      </w:r>
    </w:p>
    <w:p>
      <w:pPr>
        <w:pStyle w:val="ListBullet"/>
        <w:spacing w:after="60"/>
        <w:jc w:val="both"/>
      </w:pPr>
      <w:r>
        <w:t>src/models/pretrain/ — contrastive.py, trainer.py, encoder.py, augmentation.py (self-supervised pre-training).</w:t>
      </w:r>
    </w:p>
    <w:p>
      <w:pPr>
        <w:pStyle w:val="ListBullet"/>
        <w:spacing w:after="60"/>
        <w:jc w:val="both"/>
      </w:pPr>
      <w:r>
        <w:t>src/models/pretrain/node2vec.py, evaluate.py — baseline and precision/recall harness.</w:t>
      </w:r>
    </w:p>
    <w:p>
      <w:pPr>
        <w:pStyle w:val="ListBullet"/>
        <w:spacing w:after="60"/>
        <w:jc w:val="both"/>
      </w:pPr>
      <w:r>
        <w:t>src/ingestion/ — parsers/cicids.py, unsw.py, lanl.py, normalizer.py (data curation).</w:t>
      </w:r>
    </w:p>
    <w:p>
      <w:pPr>
        <w:pStyle w:val="ListBullet"/>
        <w:spacing w:after="60"/>
        <w:jc w:val="both"/>
      </w:pPr>
      <w:r>
        <w:t>src/graph/ — neo4j_*.py, pyg_converter.py, feature_engineering.py (graph construction).</w:t>
      </w:r>
    </w:p>
    <w:p>
      <w:pPr>
        <w:pStyle w:val="ListBullet"/>
        <w:spacing w:after="60"/>
        <w:jc w:val="both"/>
      </w:pPr>
      <w:r>
        <w:t>src/models/drl/, src/models/federated/ — RL triage and federated learning.</w:t>
      </w:r>
    </w:p>
    <w:p>
      <w:pPr>
        <w:pStyle w:val="ListBullet"/>
        <w:spacing w:after="60"/>
        <w:jc w:val="both"/>
      </w:pPr>
      <w:r>
        <w:t>docs/PROJECT_EXPLAINED_ENGLISH.md (111 KB) — full module-by-module documentation.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52" w:val="center"/>
        <w:tab w:pos="9504" w:val="right"/>
      </w:tabs>
    </w:pPr>
    <w:r>
      <w:rPr>
        <w:color w:val="555B66"/>
        <w:sz w:val="15"/>
      </w:rPr>
      <w:t>Adaptive Cybersecurity Threat Intelligence</w:t>
      <w:tab/>
    </w:r>
    <w:r>
      <w:rPr>
        <w:color w:val="555B66"/>
        <w:sz w:val="15"/>
      </w:rPr>
      <w:fldChar w:fldCharType="begin"/>
      <w:instrText xml:space="preserve">PAGE</w:instrText>
      <w:fldChar w:fldCharType="end"/>
    </w:r>
    <w:r>
      <w:rPr>
        <w:color w:val="555B66"/>
        <w:sz w:val="15"/>
      </w:rPr>
      <w:tab/>
      <w:t>Forensic Cyber Tech · Restricted distribution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23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