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dxa" w:w="10944"/>
      </w:tblPr>
      <w:tblGrid>
        <w:gridCol w:w="10944"/>
      </w:tblGrid>
      <w:tr>
        <w:trPr>
          <w:trHeight w:val="12900" w:hRule="atLeast"/>
        </w:trPr>
        <w:tc>
          <w:tcPr>
            <w:tcW w:type="dxa" w:w="10944"/>
            <w:shd w:val="clear" w:color="auto" w:fill="142444"/>
            <w:vAlign w:val="top"/>
            <w:tcMar>
              <w:top w:w="460" w:type="dxa"/>
              <w:start w:w="460" w:type="dxa"/>
              <w:bottom w:w="460" w:type="dxa"/>
              <w:end w:w="460" w:type="dxa"/>
            </w:tcMar>
          </w:tcPr>
          <w:p>
            <w:r>
              <w:rPr>
                <w:b/>
                <w:color w:val="6FA8DC"/>
                <w:sz w:val="22"/>
                <w:spacing w:val="40"/>
              </w:rPr>
              <w:t>FORENSIC CYBER TECH</w:t>
            </w:r>
          </w:p>
          <w:p>
            <w:pPr>
              <w:jc w:val="right"/>
            </w:pPr>
            <w:r>
              <w:rPr>
                <w:color w:val="AEB9C9"/>
                <w:sz w:val="18"/>
                <w:spacing w:val="40"/>
              </w:rPr>
              <w:t>TECHNICAL WHITE PAPER   ·   VERSION 1.0</w:t>
            </w:r>
          </w:p>
          <w:p/>
          <w:p/>
          <w:p>
            <w:pPr>
              <w:spacing w:line="254" w:lineRule="auto" w:after="0"/>
            </w:pPr>
            <w:r>
              <w:rPr>
                <w:b/>
                <w:color w:val="FFFFFF"/>
                <w:sz w:val="60"/>
              </w:rPr>
              <w:t>SENTINEL-AI:</w:t>
              <w:br/>
            </w:r>
            <w:r>
              <w:rPr>
                <w:b/>
                <w:color w:val="FFFFFF"/>
                <w:sz w:val="60"/>
              </w:rPr>
              <w:t>A Multi-Agent</w:t>
              <w:br/>
            </w:r>
            <w:r>
              <w:rPr>
                <w:b/>
                <w:color w:val="FFFFFF"/>
                <w:sz w:val="60"/>
              </w:rPr>
              <w:t>Autonomous</w:t>
              <w:br/>
            </w:r>
            <w:r>
              <w:rPr>
                <w:b/>
                <w:color w:val="FFFFFF"/>
                <w:sz w:val="60"/>
              </w:rPr>
              <w:t>Security Centre</w:t>
            </w:r>
          </w:p>
          <w:p>
            <w:pPr>
              <w:spacing w:before="240"/>
            </w:pPr>
            <w:r>
              <w:rPr>
                <w:b/>
                <w:color w:val="2E6FB5"/>
                <w:sz w:val="24"/>
              </w:rPr>
              <w:t>────────────</w:t>
            </w:r>
          </w:p>
          <w:p>
            <w:pPr>
              <w:spacing w:before="320" w:line="312" w:lineRule="auto"/>
            </w:pPr>
            <w:r>
              <w:rPr>
                <w:color w:val="D7DEE8"/>
                <w:sz w:val="26"/>
              </w:rPr>
              <w:t>An on-premise security-operations platform in which a team of specialised agents — driven by a locally-hosted open-weight language model — detects, investigates, mitigates and patches, with the analyst always in the loop and not a single byte leaving the host.</w:t>
            </w:r>
          </w:p>
          <w:p>
            <w:pPr>
              <w:spacing w:before="200"/>
            </w:pPr>
            <w:r>
              <w:rPr>
                <w:i/>
                <w:color w:val="AEB9C9"/>
                <w:sz w:val="21"/>
              </w:rPr>
              <w:t>Many specialised agents. One orchestrating brain. Local by default; generative only where judgement is required.</w:t>
            </w:r>
          </w:p>
          <w:p/>
          <w:p/>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dxa" w:w="9936"/>
            </w:tblPr>
            <w:tblGrid>
              <w:gridCol w:w="2736"/>
              <w:gridCol w:w="2736"/>
              <w:gridCol w:w="2736"/>
              <w:gridCol w:w="2736"/>
            </w:tblGrid>
            <w:tr>
              <w:tc>
                <w:tcPr>
                  <w:tcW w:type="dxa" w:w="2736"/>
                  <w:shd w:val="clear" w:color="auto" w:fill="142444"/>
                </w:tcPr>
                <w:p>
                  <w:r/>
                  <w:r>
                    <w:rPr>
                      <w:b/>
                      <w:color w:val="6FA8DC"/>
                      <w:sz w:val="18"/>
                    </w:rPr>
                    <w:t>Prepared for</w:t>
                  </w:r>
                </w:p>
              </w:tc>
              <w:tc>
                <w:tcPr>
                  <w:tcW w:type="dxa" w:w="2736"/>
                  <w:shd w:val="clear" w:color="auto" w:fill="142444"/>
                </w:tcPr>
                <w:p>
                  <w:r/>
                  <w:r>
                    <w:rPr>
                      <w:b/>
                      <w:color w:val="6FA8DC"/>
                      <w:sz w:val="18"/>
                    </w:rPr>
                    <w:t>Issued</w:t>
                  </w:r>
                </w:p>
              </w:tc>
              <w:tc>
                <w:tcPr>
                  <w:tcW w:type="dxa" w:w="2736"/>
                  <w:shd w:val="clear" w:color="auto" w:fill="142444"/>
                </w:tcPr>
                <w:p>
                  <w:r/>
                  <w:r>
                    <w:rPr>
                      <w:b/>
                      <w:color w:val="6FA8DC"/>
                      <w:sz w:val="18"/>
                    </w:rPr>
                    <w:t>Author</w:t>
                  </w:r>
                </w:p>
              </w:tc>
              <w:tc>
                <w:tcPr>
                  <w:tcW w:type="dxa" w:w="2736"/>
                  <w:shd w:val="clear" w:color="auto" w:fill="142444"/>
                </w:tcPr>
                <w:p>
                  <w:r/>
                  <w:r>
                    <w:rPr>
                      <w:b/>
                      <w:color w:val="6FA8DC"/>
                      <w:sz w:val="18"/>
                    </w:rPr>
                    <w:t>Handling</w:t>
                  </w:r>
                </w:p>
              </w:tc>
            </w:tr>
            <w:tr>
              <w:tc>
                <w:tcPr>
                  <w:tcW w:type="dxa" w:w="2736"/>
                  <w:shd w:val="clear" w:color="auto" w:fill="142444"/>
                </w:tcPr>
                <w:p>
                  <w:r/>
                  <w:r>
                    <w:rPr>
                      <w:color w:val="AEB9C9"/>
                      <w:sz w:val="17"/>
                    </w:rPr>
                    <w:t>Security-operations &amp; defensive-AI stakeholders</w:t>
                  </w:r>
                </w:p>
              </w:tc>
              <w:tc>
                <w:tcPr>
                  <w:tcW w:type="dxa" w:w="2736"/>
                  <w:shd w:val="clear" w:color="auto" w:fill="142444"/>
                </w:tcPr>
                <w:p>
                  <w:r/>
                  <w:r>
                    <w:rPr>
                      <w:color w:val="AEB9C9"/>
                      <w:sz w:val="17"/>
                    </w:rPr>
                    <w:t>June 2026</w:t>
                  </w:r>
                </w:p>
              </w:tc>
              <w:tc>
                <w:tcPr>
                  <w:tcW w:type="dxa" w:w="2736"/>
                  <w:shd w:val="clear" w:color="auto" w:fill="142444"/>
                </w:tcPr>
                <w:p>
                  <w:r/>
                  <w:r>
                    <w:rPr>
                      <w:color w:val="AEB9C9"/>
                      <w:sz w:val="17"/>
                    </w:rPr>
                    <w:t>Arsh Saiyad</w:t>
                    <w:br/>
                  </w:r>
                  <w:r>
                    <w:rPr>
                      <w:color w:val="AEB9C9"/>
                      <w:sz w:val="17"/>
                    </w:rPr>
                    <w:t>Machine Learning / AI Engineer, Forensic Cyber Tech</w:t>
                  </w:r>
                </w:p>
              </w:tc>
              <w:tc>
                <w:tcPr>
                  <w:tcW w:type="dxa" w:w="2736"/>
                  <w:shd w:val="clear" w:color="auto" w:fill="142444"/>
                </w:tcPr>
                <w:p>
                  <w:r/>
                  <w:r>
                    <w:rPr>
                      <w:color w:val="AEB9C9"/>
                      <w:sz w:val="17"/>
                    </w:rPr>
                    <w:t>Restricted distribution</w:t>
                  </w:r>
                </w:p>
              </w:tc>
            </w:tr>
          </w:tbl>
          <w:p/>
        </w:tc>
      </w:tr>
    </w:tbl>
    <w:p>
      <w:pPr>
        <w:spacing w:before="0" w:after="0" w:line="40" w:lineRule="exact"/>
        <w:sectPr>
          <w:pgSz w:w="12240" w:h="15840"/>
          <w:pgMar w:top="648" w:right="648" w:bottom="648" w:left="648" w:header="720" w:footer="720" w:gutter="0"/>
          <w:cols w:space="720"/>
          <w:docGrid w:linePitch="360"/>
        </w:sectPr>
      </w:pPr>
    </w:p>
    <w:p>
      <w:pPr>
        <w:spacing w:before="320" w:after="100"/>
        <w:pBdr>
          <w:bottom w:val="single" w:sz="10" w:space="4" w:color="2E6FB5"/>
        </w:pBdr>
      </w:pPr>
      <w:r>
        <w:rPr>
          <w:b/>
          <w:color w:val="2E6FB5"/>
          <w:sz w:val="30"/>
        </w:rPr>
        <w:t xml:space="preserve">1   </w:t>
      </w:r>
      <w:r>
        <w:rPr>
          <w:b/>
          <w:color w:val="1B2A4A"/>
          <w:sz w:val="30"/>
        </w:rPr>
        <w:t>Executive Summary</w:t>
      </w:r>
    </w:p>
    <w:p>
      <w:pPr>
        <w:jc w:val="both"/>
      </w:pPr>
      <w:r>
        <w:rPr>
          <w:b/>
        </w:rPr>
        <w:t>SENTINEL-AI</w:t>
      </w:r>
      <w:r>
        <w:t xml:space="preserve"> is a self-contained Security Operations Centre (SOC) platform that automates the investigative loop analysts spend most of their day on — reading an alert, gathering context, deciding whether it is real, and drafting a response — while keeping the human as the final authority. It ingests security telemetry, detects threats with a machine-learning layer, and then hands each alert to a team of specialised software agents coordinated by a central orchestrator.</w:t>
      </w:r>
    </w:p>
    <w:p>
      <w:pPr>
        <w:jc w:val="both"/>
      </w:pPr>
      <w:r>
        <w:t xml:space="preserve">What distinguishes SENTINEL-AI from a generic “LLM over logs” is that all language-model reasoning happens </w:t>
      </w:r>
      <w:r>
        <w:rPr>
          <w:b/>
        </w:rPr>
        <w:t>locally</w:t>
      </w:r>
      <w:r>
        <w:t>, on a model the operator controls, and is wrapped in structured, auditable interfaces. The platform never calls an external service — which matters precisely because the data it analyses is itself sensitive. The result is an autonomous SOC that is private by construction and useful in practice.</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dxa" w:w="9432"/>
      </w:tblPr>
      <w:tblGrid>
        <w:gridCol w:w="9504"/>
      </w:tblGrid>
      <w:tr>
        <w:tc>
          <w:tcPr>
            <w:tcW w:type="dxa" w:w="9504"/>
            <w:shd w:val="clear" w:color="auto" w:fill="EAF1FA"/>
            <w:tcMar>
              <w:top w:w="170" w:type="dxa"/>
              <w:start w:w="170" w:type="dxa"/>
              <w:bottom w:w="170" w:type="dxa"/>
              <w:end w:w="170" w:type="dxa"/>
            </w:tcMar>
            <w:tcBorders>
              <w:left w:val="single" w:sz="24" w:space="0" w:color="9FBFE3"/>
            </w:tcBorders>
          </w:tcPr>
          <w:p>
            <w:pPr>
              <w:spacing w:after="60"/>
            </w:pPr>
            <w:r>
              <w:rPr>
                <w:b/>
                <w:color w:val="2E6FB5"/>
                <w:sz w:val="19"/>
                <w:spacing w:val="20"/>
              </w:rPr>
              <w:t>AT A GLANCE</w:t>
            </w:r>
          </w:p>
          <w:p>
            <w:pPr>
              <w:pStyle w:val="ListBullet"/>
              <w:spacing w:after="40"/>
              <w:jc w:val="both"/>
            </w:pPr>
            <w:r>
              <w:rPr>
                <w:b/>
                <w:sz w:val="19"/>
              </w:rPr>
              <w:t>Reasoning model:</w:t>
            </w:r>
            <w:r>
              <w:rPr>
                <w:sz w:val="19"/>
              </w:rPr>
              <w:t xml:space="preserve"> Mistral 7B (open-weight), served locally via Ollama — no cloud, no data egress.</w:t>
            </w:r>
          </w:p>
          <w:p>
            <w:pPr>
              <w:pStyle w:val="ListBullet"/>
              <w:spacing w:after="40"/>
              <w:jc w:val="both"/>
            </w:pPr>
            <w:r>
              <w:rPr>
                <w:b/>
                <w:sz w:val="19"/>
              </w:rPr>
              <w:t>Agents:</w:t>
            </w:r>
            <w:r>
              <w:rPr>
                <w:sz w:val="19"/>
              </w:rPr>
              <w:t xml:space="preserve"> orchestrator coordinating Detection, Investigation, Mitigation and Patch agents.</w:t>
            </w:r>
          </w:p>
          <w:p>
            <w:pPr>
              <w:pStyle w:val="ListBullet"/>
              <w:spacing w:after="40"/>
              <w:jc w:val="both"/>
            </w:pPr>
            <w:r>
              <w:rPr>
                <w:b/>
                <w:sz w:val="19"/>
              </w:rPr>
              <w:t>Structured output:</w:t>
            </w:r>
            <w:r>
              <w:rPr>
                <w:sz w:val="19"/>
              </w:rPr>
              <w:t xml:space="preserve"> strict JSON contracts (true-positive, confidence, attack stage, IOCs, mitigations).</w:t>
            </w:r>
          </w:p>
          <w:p>
            <w:pPr>
              <w:pStyle w:val="ListBullet"/>
              <w:spacing w:after="40"/>
              <w:jc w:val="both"/>
            </w:pPr>
            <w:r>
              <w:rPr>
                <w:b/>
                <w:sz w:val="19"/>
              </w:rPr>
              <w:t>Detection layer:</w:t>
            </w:r>
            <w:r>
              <w:rPr>
                <w:sz w:val="19"/>
              </w:rPr>
              <w:t xml:space="preserve"> ML anomaly scoring + SIGMA rule engine + MITRE ATT&amp;CK tactic mapping.</w:t>
            </w:r>
          </w:p>
          <w:p>
            <w:pPr>
              <w:pStyle w:val="ListBullet"/>
              <w:spacing w:after="40"/>
              <w:jc w:val="both"/>
            </w:pPr>
            <w:r>
              <w:rPr>
                <w:b/>
                <w:sz w:val="19"/>
              </w:rPr>
              <w:t>Ingestion:</w:t>
            </w:r>
            <w:r>
              <w:rPr>
                <w:sz w:val="19"/>
              </w:rPr>
              <w:t xml:space="preserve"> parsers for auth, network, application, Windows-event and syslog sources.</w:t>
            </w:r>
          </w:p>
          <w:p>
            <w:pPr>
              <w:pStyle w:val="ListBullet"/>
              <w:spacing w:after="40"/>
              <w:jc w:val="both"/>
            </w:pPr>
            <w:r>
              <w:rPr>
                <w:b/>
                <w:sz w:val="19"/>
              </w:rPr>
              <w:t>Deployment:</w:t>
            </w:r>
            <w:r>
              <w:rPr>
                <w:sz w:val="19"/>
              </w:rPr>
              <w:t xml:space="preserve"> Dockerised, fully on-premise; Next.js analyst dashboard with live updates.</w:t>
            </w:r>
          </w:p>
        </w:tc>
      </w:tr>
    </w:tbl>
    <w:p/>
    <w:p>
      <w:pPr>
        <w:spacing w:before="320" w:after="100"/>
        <w:pBdr>
          <w:bottom w:val="single" w:sz="10" w:space="4" w:color="2E6FB5"/>
        </w:pBdr>
      </w:pPr>
      <w:r>
        <w:rPr>
          <w:b/>
          <w:color w:val="2E6FB5"/>
          <w:sz w:val="30"/>
        </w:rPr>
        <w:t xml:space="preserve">2   </w:t>
      </w:r>
      <w:r>
        <w:rPr>
          <w:b/>
          <w:color w:val="1B2A4A"/>
          <w:sz w:val="30"/>
        </w:rPr>
        <w:t>The Problem</w:t>
      </w:r>
    </w:p>
    <w:p>
      <w:pPr>
        <w:jc w:val="both"/>
      </w:pPr>
      <w:r>
        <w:t>Security analysts are expensive, scarce, and overwhelmingly occupied by repetitive triage. Each alert demands the same ritual: read it, pull the surrounding context, judge whether it is a true positive, and write up a recommended action. Large language models are obviously suited to this kind of natural-language reasoning — but the standard way to use them, sending data to a cloud API, is a non-starter when the “data” is an organisation’s own security telemetry, incident detail and infrastructure layout. Uploading that to a third-party model is an unacceptable exfiltration risk.</w:t>
      </w:r>
    </w:p>
    <w:p>
      <w:pPr>
        <w:jc w:val="both"/>
      </w:pPr>
      <w:r>
        <w:t>A second problem is trust. A general chatbot will answer confidently even when it is wrong, and in security operations a fabricated indicator or a misattributed action is worse than no answer. SENTINEL-AI addresses both at once: the model runs locally so the privacy problem never arises, and every agent interacts with it through a constrained, structured-output contract so its reasoning can be parsed, checked and acted on rather than taken on faith.</w:t>
      </w:r>
    </w:p>
    <w:p>
      <w:pPr>
        <w:spacing w:before="320" w:after="100"/>
        <w:pBdr>
          <w:bottom w:val="single" w:sz="10" w:space="4" w:color="2E6FB5"/>
        </w:pBdr>
      </w:pPr>
      <w:r>
        <w:rPr>
          <w:b/>
          <w:color w:val="2E6FB5"/>
          <w:sz w:val="30"/>
        </w:rPr>
        <w:t xml:space="preserve">3   </w:t>
      </w:r>
      <w:r>
        <w:rPr>
          <w:b/>
          <w:color w:val="1B2A4A"/>
          <w:sz w:val="30"/>
        </w:rPr>
        <w:t>System Overview</w:t>
      </w:r>
    </w:p>
    <w:p>
      <w:pPr>
        <w:jc w:val="both"/>
      </w:pPr>
      <w:r>
        <w:t xml:space="preserve">Logs flow in through an ingestion pipeline, are enriched by the detection layer, and become alerts. A central </w:t>
      </w:r>
      <w:r>
        <w:rPr>
          <w:b/>
        </w:rPr>
        <w:t>orchestrator</w:t>
      </w:r>
      <w:r>
        <w:t xml:space="preserve"> then routes each alert through the appropriate agents, each of which calls the local model through a single shared client and returns a structured result to the analyst dashboard.</w:t>
      </w:r>
    </w:p>
    <w:tbl>
      <w:tblPr>
        <w:tblW w:type="auto" w:w="0"/>
        <w:tblLayout w:type="fixed"/>
        <w:tblLook w:firstColumn="1" w:firstRow="1" w:lastColumn="0" w:lastRow="0" w:noHBand="0" w:noVBand="1" w:val="04A0"/>
        <w:tblW w:type="dxa" w:w="9432"/>
      </w:tblPr>
      <w:tblGrid>
        <w:gridCol w:w="9504"/>
      </w:tblGrid>
      <w:tr>
        <w:tc>
          <w:tcPr>
            <w:tcW w:type="dxa" w:w="9504"/>
            <w:shd w:val="clear" w:color="auto" w:fill="F4F7FB"/>
            <w:tcBorders>
              <w:top w:val="single" w:sz="6" w:space="4" w:color="C2D3E8"/>
              <w:left w:val="single" w:sz="6" w:space="4" w:color="C2D3E8"/>
              <w:bottom w:val="single" w:sz="6" w:space="4" w:color="C2D3E8"/>
              <w:right w:val="single" w:sz="6" w:space="4" w:color="C2D3E8"/>
            </w:tcBorders>
          </w:tcPr>
          <w:p>
            <w:r>
              <w:rPr>
                <w:rFonts w:ascii="Consolas" w:hAnsi="Consolas"/>
                <w:color w:val="1B2A4A"/>
                <w:sz w:val="16"/>
              </w:rPr>
              <w:t xml:space="preserve">  Logs  (auth · network · application · Windows event · syslog)</w:t>
              <w:br/>
            </w:r>
            <w:r>
              <w:rPr>
                <w:rFonts w:ascii="Consolas" w:hAnsi="Consolas"/>
                <w:color w:val="1B2A4A"/>
                <w:sz w:val="16"/>
              </w:rPr>
              <w:t xml:space="preserve">     |  parsers -&gt; ingestion pipeline</w:t>
              <w:br/>
            </w:r>
            <w:r>
              <w:rPr>
                <w:rFonts w:ascii="Consolas" w:hAnsi="Consolas"/>
                <w:color w:val="1B2A4A"/>
                <w:sz w:val="16"/>
              </w:rPr>
              <w:t xml:space="preserve">     v</w:t>
              <w:br/>
            </w:r>
            <w:r>
              <w:rPr>
                <w:rFonts w:ascii="Consolas" w:hAnsi="Consolas"/>
                <w:color w:val="1B2A4A"/>
                <w:sz w:val="16"/>
              </w:rPr>
              <w:t xml:space="preserve">  Detection layer  (anomaly scoring · SIGMA rules · feature extraction · sliding windows)</w:t>
              <w:br/>
            </w:r>
            <w:r>
              <w:rPr>
                <w:rFonts w:ascii="Consolas" w:hAnsi="Consolas"/>
                <w:color w:val="1B2A4A"/>
                <w:sz w:val="16"/>
              </w:rPr>
              <w:t xml:space="preserve">     |  -&gt; Alerts (with MITRE ATT&amp;CK tactic mapping)</w:t>
              <w:br/>
            </w:r>
            <w:r>
              <w:rPr>
                <w:rFonts w:ascii="Consolas" w:hAnsi="Consolas"/>
                <w:color w:val="1B2A4A"/>
                <w:sz w:val="16"/>
              </w:rPr>
              <w:t xml:space="preserve">     v</w:t>
              <w:br/>
            </w:r>
            <w:r>
              <w:rPr>
                <w:rFonts w:ascii="Consolas" w:hAnsi="Consolas"/>
                <w:color w:val="1B2A4A"/>
                <w:sz w:val="16"/>
              </w:rPr>
              <w:t xml:space="preserve">  Orchestrator</w:t>
              <w:br/>
            </w:r>
            <w:r>
              <w:rPr>
                <w:rFonts w:ascii="Consolas" w:hAnsi="Consolas"/>
                <w:color w:val="1B2A4A"/>
                <w:sz w:val="16"/>
              </w:rPr>
              <w:t xml:space="preserve">     |--&gt; Detection agent      \</w:t>
              <w:br/>
            </w:r>
            <w:r>
              <w:rPr>
                <w:rFonts w:ascii="Consolas" w:hAnsi="Consolas"/>
                <w:color w:val="1B2A4A"/>
                <w:sz w:val="16"/>
              </w:rPr>
              <w:t xml:space="preserve">     |--&gt; Investigation agent   |  each calls the shared LLM client</w:t>
              <w:br/>
            </w:r>
            <w:r>
              <w:rPr>
                <w:rFonts w:ascii="Consolas" w:hAnsi="Consolas"/>
                <w:color w:val="1B2A4A"/>
                <w:sz w:val="16"/>
              </w:rPr>
              <w:t xml:space="preserve">     |--&gt; Mitigation agent      |  (Mistral 7B via local Ollama)</w:t>
              <w:br/>
            </w:r>
            <w:r>
              <w:rPr>
                <w:rFonts w:ascii="Consolas" w:hAnsi="Consolas"/>
                <w:color w:val="1B2A4A"/>
                <w:sz w:val="16"/>
              </w:rPr>
              <w:t xml:space="preserve">     |--&gt; Patch agent          /</w:t>
              <w:br/>
            </w:r>
            <w:r>
              <w:rPr>
                <w:rFonts w:ascii="Consolas" w:hAnsi="Consolas"/>
                <w:color w:val="1B2A4A"/>
                <w:sz w:val="16"/>
              </w:rPr>
              <w:t xml:space="preserve">     v</w:t>
              <w:br/>
            </w:r>
            <w:r>
              <w:rPr>
                <w:rFonts w:ascii="Consolas" w:hAnsi="Consolas"/>
                <w:color w:val="1B2A4A"/>
                <w:sz w:val="16"/>
              </w:rPr>
              <w:t xml:space="preserve">  FastAPI + WebSocket  --&gt;  Next.js analyst dashboard  (alerts · incidents · live · agents)</w:t>
              <w:br/>
            </w:r>
            <w:r>
              <w:rPr>
                <w:rFonts w:ascii="Consolas" w:hAnsi="Consolas"/>
                <w:color w:val="1B2A4A"/>
                <w:sz w:val="16"/>
              </w:rPr>
              <w:t xml:space="preserve">  ReportLab + Jinja2   --&gt;  structured analyst reports</w:t>
            </w:r>
          </w:p>
        </w:tc>
      </w:tr>
    </w:tbl>
    <w:p>
      <w:pPr>
        <w:spacing w:before="40"/>
        <w:jc w:val="center"/>
      </w:pPr>
      <w:r>
        <w:rPr>
          <w:i/>
          <w:color w:val="555B66"/>
          <w:sz w:val="17"/>
        </w:rPr>
        <w:t>Figure 1.  Incident flow. Telemetry becomes alerts; the orchestrator dispatches each alert to specialised agents that reason through a single local model and report to the analyst.</w:t>
      </w:r>
    </w:p>
    <w:p/>
    <w:p>
      <w:pPr>
        <w:spacing w:before="320" w:after="100"/>
        <w:pBdr>
          <w:bottom w:val="single" w:sz="10" w:space="4" w:color="2E6FB5"/>
        </w:pBdr>
      </w:pPr>
      <w:r>
        <w:rPr>
          <w:b/>
          <w:color w:val="2E6FB5"/>
          <w:sz w:val="30"/>
        </w:rPr>
        <w:t xml:space="preserve">4   </w:t>
      </w:r>
      <w:r>
        <w:rPr>
          <w:b/>
          <w:color w:val="1B2A4A"/>
          <w:sz w:val="30"/>
        </w:rPr>
        <w:t>The Agentic Architecture</w:t>
      </w:r>
    </w:p>
    <w:p>
      <w:pPr>
        <w:jc w:val="both"/>
      </w:pPr>
      <w:r>
        <w:t>SENTINEL-AI is a small team of agents rather than one monolithic prompt. Each agent subclasses a common base, owns one stage of the incident lifecycle, and shares context through the orchestrator and a Model Context Protocol (MCP) tool server. The agents are not a loose collection of helpers; they are wired into a single decision flow that behaves like one coordinated reasoning brain.</w:t>
      </w:r>
    </w:p>
    <w:tbl>
      <w:tblPr>
        <w:tblStyle w:val="TableGrid"/>
        <w:tblW w:type="auto" w:w="0"/>
        <w:jc w:val="center"/>
        <w:tblLayout w:type="fixed"/>
        <w:tblLook w:firstColumn="1" w:firstRow="1" w:lastColumn="0" w:lastRow="0" w:noHBand="0" w:noVBand="1" w:val="04A0"/>
        <w:tblW w:type="dxa" w:w="9432"/>
      </w:tblPr>
      <w:tblGrid>
        <w:gridCol w:w="4752"/>
        <w:gridCol w:w="4752"/>
      </w:tblGrid>
      <w:tr>
        <w:tc>
          <w:tcPr>
            <w:tcW w:type="dxa" w:w="4752"/>
            <w:shd w:val="clear" w:color="auto" w:fill="1B2A4A"/>
          </w:tcPr>
          <w:p>
            <w:r/>
            <w:r>
              <w:rPr>
                <w:b/>
                <w:color w:val="FFFFFF"/>
                <w:sz w:val="19"/>
              </w:rPr>
              <w:t>Agent</w:t>
            </w:r>
          </w:p>
        </w:tc>
        <w:tc>
          <w:tcPr>
            <w:tcW w:type="dxa" w:w="4752"/>
            <w:shd w:val="clear" w:color="auto" w:fill="1B2A4A"/>
          </w:tcPr>
          <w:p>
            <w:r/>
            <w:r>
              <w:rPr>
                <w:b/>
                <w:color w:val="FFFFFF"/>
                <w:sz w:val="19"/>
              </w:rPr>
              <w:t>Responsibility</w:t>
            </w:r>
          </w:p>
        </w:tc>
      </w:tr>
      <w:tr>
        <w:tc>
          <w:tcPr>
            <w:tcW w:type="dxa" w:w="4752"/>
          </w:tcPr>
          <w:p>
            <w:r/>
            <w:r>
              <w:rPr>
                <w:b/>
                <w:color w:val="1B2A4A"/>
                <w:sz w:val="18"/>
              </w:rPr>
              <w:t>Detection</w:t>
            </w:r>
          </w:p>
        </w:tc>
        <w:tc>
          <w:tcPr>
            <w:tcW w:type="dxa" w:w="4752"/>
          </w:tcPr>
          <w:p>
            <w:r/>
            <w:r>
              <w:rPr>
                <w:color w:val="232933"/>
                <w:sz w:val="18"/>
              </w:rPr>
              <w:t>Interprets telemetry and ML signals to identify candidate threats.</w:t>
            </w:r>
          </w:p>
        </w:tc>
      </w:tr>
      <w:tr>
        <w:tc>
          <w:tcPr>
            <w:tcW w:type="dxa" w:w="4752"/>
            <w:shd w:val="clear" w:color="auto" w:fill="EEF2F7"/>
          </w:tcPr>
          <w:p>
            <w:r/>
            <w:r>
              <w:rPr>
                <w:b/>
                <w:color w:val="1B2A4A"/>
                <w:sz w:val="18"/>
              </w:rPr>
              <w:t>Investigation</w:t>
            </w:r>
          </w:p>
        </w:tc>
        <w:tc>
          <w:tcPr>
            <w:tcW w:type="dxa" w:w="4752"/>
            <w:shd w:val="clear" w:color="auto" w:fill="EEF2F7"/>
          </w:tcPr>
          <w:p>
            <w:r/>
            <w:r>
              <w:rPr>
                <w:color w:val="232933"/>
                <w:sz w:val="18"/>
              </w:rPr>
              <w:t>Builds attack chains, extracts indicators of compromise (IOCs), performs deeper analysis.</w:t>
            </w:r>
          </w:p>
        </w:tc>
      </w:tr>
      <w:tr>
        <w:tc>
          <w:tcPr>
            <w:tcW w:type="dxa" w:w="4752"/>
          </w:tcPr>
          <w:p>
            <w:r/>
            <w:r>
              <w:rPr>
                <w:b/>
                <w:color w:val="1B2A4A"/>
                <w:sz w:val="18"/>
              </w:rPr>
              <w:t>Mitigation</w:t>
            </w:r>
          </w:p>
        </w:tc>
        <w:tc>
          <w:tcPr>
            <w:tcW w:type="dxa" w:w="4752"/>
          </w:tcPr>
          <w:p>
            <w:r/>
            <w:r>
              <w:rPr>
                <w:color w:val="232933"/>
                <w:sz w:val="18"/>
              </w:rPr>
              <w:t>Recommends and sequences containment and remediation actions.</w:t>
            </w:r>
          </w:p>
        </w:tc>
      </w:tr>
      <w:tr>
        <w:tc>
          <w:tcPr>
            <w:tcW w:type="dxa" w:w="4752"/>
            <w:shd w:val="clear" w:color="auto" w:fill="EEF2F7"/>
          </w:tcPr>
          <w:p>
            <w:r/>
            <w:r>
              <w:rPr>
                <w:b/>
                <w:color w:val="1B2A4A"/>
                <w:sz w:val="18"/>
              </w:rPr>
              <w:t>Patch</w:t>
            </w:r>
          </w:p>
        </w:tc>
        <w:tc>
          <w:tcPr>
            <w:tcW w:type="dxa" w:w="4752"/>
            <w:shd w:val="clear" w:color="auto" w:fill="EEF2F7"/>
          </w:tcPr>
          <w:p>
            <w:r/>
            <w:r>
              <w:rPr>
                <w:color w:val="232933"/>
                <w:sz w:val="18"/>
              </w:rPr>
              <w:t>Proposes secure-code and configuration patches for the identified weakness.</w:t>
            </w:r>
          </w:p>
        </w:tc>
      </w:tr>
      <w:tr>
        <w:tc>
          <w:tcPr>
            <w:tcW w:type="dxa" w:w="4752"/>
          </w:tcPr>
          <w:p>
            <w:r/>
            <w:r>
              <w:rPr>
                <w:b/>
                <w:color w:val="1B2A4A"/>
                <w:sz w:val="18"/>
              </w:rPr>
              <w:t>Orchestrator</w:t>
            </w:r>
          </w:p>
        </w:tc>
        <w:tc>
          <w:tcPr>
            <w:tcW w:type="dxa" w:w="4752"/>
          </w:tcPr>
          <w:p>
            <w:r/>
            <w:r>
              <w:rPr>
                <w:color w:val="232933"/>
                <w:sz w:val="18"/>
              </w:rPr>
              <w:t>Coordinates the agents and manages the end-to-end multi-step workflow.</w:t>
            </w:r>
          </w:p>
        </w:tc>
      </w:tr>
    </w:tbl>
    <w:p/>
    <w:p>
      <w:pPr>
        <w:spacing w:before="200" w:after="40"/>
      </w:pPr>
      <w:r>
        <w:rPr>
          <w:b/>
          <w:color w:val="1B2A4A"/>
          <w:sz w:val="23"/>
        </w:rPr>
        <w:t>4.1  The local reasoning model</w:t>
      </w:r>
    </w:p>
    <w:p>
      <w:pPr>
        <w:jc w:val="both"/>
      </w:pPr>
      <w:r>
        <w:t xml:space="preserve">Every agent reasons through one well-engineered client wrapping a locally-served </w:t>
      </w:r>
      <w:r>
        <w:rPr>
          <w:b/>
        </w:rPr>
        <w:t>Mistral 7B</w:t>
      </w:r>
      <w:r>
        <w:t xml:space="preserve"> model (via Ollama). The client is built for production reliability, not demo convenience: prompts require </w:t>
      </w:r>
      <w:r>
        <w:rPr>
          <w:b/>
        </w:rPr>
        <w:t>strict JSON</w:t>
      </w:r>
      <w:r>
        <w:t xml:space="preserve"> so outputs can be parsed deterministically (alert analysis returns true-positive judgement, confidence, attack stage and recommended actions; investigation returns attack chains, IOCs grouped by type, mitigation plans and firewall rules); responses are recovered even when the model wraps them in markdown; the temperature is held low (0.3) for stable, repeatable analysis; and calls are protected by exponential-backoff retries, timeouts and per-call token and latency tracking.</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dxa" w:w="9432"/>
      </w:tblPr>
      <w:tblGrid>
        <w:gridCol w:w="9504"/>
      </w:tblGrid>
      <w:tr>
        <w:tc>
          <w:tcPr>
            <w:tcW w:type="dxa" w:w="9504"/>
            <w:shd w:val="clear" w:color="auto" w:fill="FBF4E6"/>
            <w:tcMar>
              <w:top w:w="170" w:type="dxa"/>
              <w:start w:w="170" w:type="dxa"/>
              <w:bottom w:w="170" w:type="dxa"/>
              <w:end w:w="170" w:type="dxa"/>
            </w:tcMar>
            <w:tcBorders>
              <w:left w:val="single" w:sz="24" w:space="0" w:color="E4CF95"/>
            </w:tcBorders>
          </w:tcPr>
          <w:p>
            <w:pPr>
              <w:spacing w:after="60"/>
            </w:pPr>
            <w:r>
              <w:rPr>
                <w:b/>
                <w:color w:val="B57A12"/>
                <w:sz w:val="19"/>
                <w:spacing w:val="20"/>
              </w:rPr>
              <w:t>DESIGN POSTURE</w:t>
            </w:r>
          </w:p>
          <w:p>
            <w:pPr>
              <w:spacing w:after="40"/>
              <w:jc w:val="both"/>
            </w:pPr>
            <w:r>
              <w:rPr>
                <w:sz w:val="19"/>
              </w:rPr>
              <w:t>Local by default; structured always; the analyst decides. The model proposes — it never executes a mitigation or commits a patch on its own. A recommendation a human can review is recoverable; an autonomous action on bad reasoning may not be.</w:t>
            </w:r>
          </w:p>
        </w:tc>
      </w:tr>
    </w:tbl>
    <w:p/>
    <w:p>
      <w:pPr>
        <w:spacing w:before="320" w:after="100"/>
        <w:pBdr>
          <w:bottom w:val="single" w:sz="10" w:space="4" w:color="2E6FB5"/>
        </w:pBdr>
      </w:pPr>
      <w:r>
        <w:rPr>
          <w:b/>
          <w:color w:val="2E6FB5"/>
          <w:sz w:val="30"/>
        </w:rPr>
        <w:t xml:space="preserve">5   </w:t>
      </w:r>
      <w:r>
        <w:rPr>
          <w:b/>
          <w:color w:val="1B2A4A"/>
          <w:sz w:val="30"/>
        </w:rPr>
        <w:t>Detection, Ingestion &amp; Reporting</w:t>
      </w:r>
    </w:p>
    <w:p>
      <w:pPr>
        <w:jc w:val="both"/>
      </w:pPr>
      <w:r>
        <w:t xml:space="preserve">The intelligence that reaches the agents is produced by a deterministic detection layer, not by the language model. Statistical and temporal anomaly scoring (with sliding-window feature extraction) is combined with a </w:t>
      </w:r>
      <w:r>
        <w:rPr>
          <w:b/>
        </w:rPr>
        <w:t>SIGMA rule engine</w:t>
      </w:r>
      <w:r>
        <w:t xml:space="preserve"> for known attack signatures, and every alert is tagged with its </w:t>
      </w:r>
      <w:r>
        <w:rPr>
          <w:b/>
        </w:rPr>
        <w:t>MITRE ATT&amp;CK</w:t>
      </w:r>
      <w:r>
        <w:t xml:space="preserve"> tactic for standardised triage. Telemetry enters through a pipeline with dedicated parsers for auth, network, application, Windows-event and syslog formats, with a simulator for testing. Findings are persisted locally and pushed to the dashboard over WebSocket, and analyst-ready reports are rendered with ReportLab and Jinja2.</w:t>
      </w:r>
    </w:p>
    <w:p>
      <w:pPr>
        <w:spacing w:before="320" w:after="100"/>
        <w:pBdr>
          <w:bottom w:val="single" w:sz="10" w:space="4" w:color="2E6FB5"/>
        </w:pBdr>
      </w:pPr>
      <w:r>
        <w:rPr>
          <w:b/>
          <w:color w:val="2E6FB5"/>
          <w:sz w:val="30"/>
        </w:rPr>
        <w:t xml:space="preserve">6   </w:t>
      </w:r>
      <w:r>
        <w:rPr>
          <w:b/>
          <w:color w:val="1B2A4A"/>
          <w:sz w:val="30"/>
        </w:rPr>
        <w:t>Privacy &amp; Deployment</w:t>
      </w:r>
    </w:p>
    <w:p>
      <w:pPr>
        <w:pStyle w:val="ListBullet"/>
        <w:spacing w:after="60"/>
        <w:jc w:val="both"/>
      </w:pPr>
      <w:r>
        <w:rPr>
          <w:b/>
        </w:rPr>
        <w:t>Nothing leaves the host:</w:t>
      </w:r>
      <w:r>
        <w:t xml:space="preserve"> model inference is 100% local via Ollama; the platform functions with no external network access.</w:t>
      </w:r>
    </w:p>
    <w:p>
      <w:pPr>
        <w:pStyle w:val="ListBullet"/>
        <w:spacing w:after="60"/>
        <w:jc w:val="both"/>
      </w:pPr>
      <w:r>
        <w:rPr>
          <w:b/>
        </w:rPr>
        <w:t>Packaged for isolation:</w:t>
      </w:r>
      <w:r>
        <w:t xml:space="preserve"> Dockerfile + docker-compose for reproducible, self-contained deployment.</w:t>
      </w:r>
    </w:p>
    <w:p>
      <w:pPr>
        <w:pStyle w:val="ListBullet"/>
        <w:spacing w:after="60"/>
        <w:jc w:val="both"/>
      </w:pPr>
      <w:r>
        <w:rPr>
          <w:b/>
        </w:rPr>
        <w:t>All artefacts stay local:</w:t>
      </w:r>
      <w:r>
        <w:t xml:space="preserve"> logs, alerts, incidents, agent decisions and reports remain on the workstation or server it runs on.</w:t>
      </w:r>
    </w:p>
    <w:tbl>
      <w:tblPr>
        <w:tblStyle w:val="TableGrid"/>
        <w:tblW w:type="auto" w:w="0"/>
        <w:jc w:val="center"/>
        <w:tblLayout w:type="fixed"/>
        <w:tblLook w:firstColumn="1" w:firstRow="1" w:lastColumn="0" w:lastRow="0" w:noHBand="0" w:noVBand="1" w:val="04A0"/>
        <w:tblW w:type="dxa" w:w="9432"/>
      </w:tblPr>
      <w:tblGrid>
        <w:gridCol w:w="4752"/>
        <w:gridCol w:w="4752"/>
      </w:tblGrid>
      <w:tr>
        <w:tc>
          <w:tcPr>
            <w:tcW w:type="dxa" w:w="4752"/>
            <w:shd w:val="clear" w:color="auto" w:fill="1B2A4A"/>
          </w:tcPr>
          <w:p>
            <w:r/>
            <w:r>
              <w:rPr>
                <w:b/>
                <w:color w:val="FFFFFF"/>
                <w:sz w:val="19"/>
              </w:rPr>
              <w:t>Layer</w:t>
            </w:r>
          </w:p>
        </w:tc>
        <w:tc>
          <w:tcPr>
            <w:tcW w:type="dxa" w:w="4752"/>
            <w:shd w:val="clear" w:color="auto" w:fill="1B2A4A"/>
          </w:tcPr>
          <w:p>
            <w:r/>
            <w:r>
              <w:rPr>
                <w:b/>
                <w:color w:val="FFFFFF"/>
                <w:sz w:val="19"/>
              </w:rPr>
              <w:t>Technologies</w:t>
            </w:r>
          </w:p>
        </w:tc>
      </w:tr>
      <w:tr>
        <w:tc>
          <w:tcPr>
            <w:tcW w:type="dxa" w:w="4752"/>
          </w:tcPr>
          <w:p>
            <w:r/>
            <w:r>
              <w:rPr>
                <w:b/>
                <w:color w:val="1B2A4A"/>
                <w:sz w:val="18"/>
              </w:rPr>
              <w:t>Backend</w:t>
            </w:r>
          </w:p>
        </w:tc>
        <w:tc>
          <w:tcPr>
            <w:tcW w:type="dxa" w:w="4752"/>
          </w:tcPr>
          <w:p>
            <w:r/>
            <w:r>
              <w:rPr>
                <w:color w:val="232933"/>
                <w:sz w:val="18"/>
              </w:rPr>
              <w:t>Python · FastAPI · async httpx · SQLAlchemy 2.0 (async) · Pydantic v2 · WebSockets · loguru</w:t>
            </w:r>
          </w:p>
        </w:tc>
      </w:tr>
      <w:tr>
        <w:tc>
          <w:tcPr>
            <w:tcW w:type="dxa" w:w="4752"/>
            <w:shd w:val="clear" w:color="auto" w:fill="EEF2F7"/>
          </w:tcPr>
          <w:p>
            <w:r/>
            <w:r>
              <w:rPr>
                <w:b/>
                <w:color w:val="1B2A4A"/>
                <w:sz w:val="18"/>
              </w:rPr>
              <w:t>LLM &amp; agents</w:t>
            </w:r>
          </w:p>
        </w:tc>
        <w:tc>
          <w:tcPr>
            <w:tcW w:type="dxa" w:w="4752"/>
            <w:shd w:val="clear" w:color="auto" w:fill="EEF2F7"/>
          </w:tcPr>
          <w:p>
            <w:r/>
            <w:r>
              <w:rPr>
                <w:color w:val="232933"/>
                <w:sz w:val="18"/>
              </w:rPr>
              <w:t>Ollama (Mistral 7B) · MCP 1.1.2 · custom BaseAgent framework · orchestrator</w:t>
            </w:r>
          </w:p>
        </w:tc>
      </w:tr>
      <w:tr>
        <w:tc>
          <w:tcPr>
            <w:tcW w:type="dxa" w:w="4752"/>
          </w:tcPr>
          <w:p>
            <w:r/>
            <w:r>
              <w:rPr>
                <w:b/>
                <w:color w:val="1B2A4A"/>
                <w:sz w:val="18"/>
              </w:rPr>
              <w:t>Detection ML</w:t>
            </w:r>
          </w:p>
        </w:tc>
        <w:tc>
          <w:tcPr>
            <w:tcW w:type="dxa" w:w="4752"/>
          </w:tcPr>
          <w:p>
            <w:r/>
            <w:r>
              <w:rPr>
                <w:color w:val="232933"/>
                <w:sz w:val="18"/>
              </w:rPr>
              <w:t>scikit-learn · NumPy · Pandas · SIGMA rules · MITRE ATT&amp;CK mapping</w:t>
            </w:r>
          </w:p>
        </w:tc>
      </w:tr>
      <w:tr>
        <w:tc>
          <w:tcPr>
            <w:tcW w:type="dxa" w:w="4752"/>
            <w:shd w:val="clear" w:color="auto" w:fill="EEF2F7"/>
          </w:tcPr>
          <w:p>
            <w:r/>
            <w:r>
              <w:rPr>
                <w:b/>
                <w:color w:val="1B2A4A"/>
                <w:sz w:val="18"/>
              </w:rPr>
              <w:t>Reporting</w:t>
            </w:r>
          </w:p>
        </w:tc>
        <w:tc>
          <w:tcPr>
            <w:tcW w:type="dxa" w:w="4752"/>
            <w:shd w:val="clear" w:color="auto" w:fill="EEF2F7"/>
          </w:tcPr>
          <w:p>
            <w:r/>
            <w:r>
              <w:rPr>
                <w:color w:val="232933"/>
                <w:sz w:val="18"/>
              </w:rPr>
              <w:t>ReportLab · Jinja2 · GitPython</w:t>
            </w:r>
          </w:p>
        </w:tc>
      </w:tr>
      <w:tr>
        <w:tc>
          <w:tcPr>
            <w:tcW w:type="dxa" w:w="4752"/>
          </w:tcPr>
          <w:p>
            <w:r/>
            <w:r>
              <w:rPr>
                <w:b/>
                <w:color w:val="1B2A4A"/>
                <w:sz w:val="18"/>
              </w:rPr>
              <w:t>Frontend</w:t>
            </w:r>
          </w:p>
        </w:tc>
        <w:tc>
          <w:tcPr>
            <w:tcW w:type="dxa" w:w="4752"/>
          </w:tcPr>
          <w:p>
            <w:r/>
            <w:r>
              <w:rPr>
                <w:color w:val="232933"/>
                <w:sz w:val="18"/>
              </w:rPr>
              <w:t>Next.js · React analyst dashboard (alerts · incidents · live · agents)</w:t>
            </w:r>
          </w:p>
        </w:tc>
      </w:tr>
    </w:tbl>
    <w:p/>
    <w:p>
      <w:pPr>
        <w:spacing w:before="320" w:after="100"/>
        <w:pBdr>
          <w:bottom w:val="single" w:sz="10" w:space="4" w:color="2E6FB5"/>
        </w:pBdr>
      </w:pPr>
      <w:r>
        <w:rPr>
          <w:b/>
          <w:color w:val="2E6FB5"/>
          <w:sz w:val="30"/>
        </w:rPr>
        <w:t xml:space="preserve">7   </w:t>
      </w:r>
      <w:r>
        <w:rPr>
          <w:b/>
          <w:color w:val="1B2A4A"/>
          <w:sz w:val="30"/>
        </w:rPr>
        <w:t>Outlook</w:t>
      </w:r>
    </w:p>
    <w:p>
      <w:pPr>
        <w:jc w:val="both"/>
      </w:pPr>
      <w:r>
        <w:t>The roadmap broadens parser coverage to more log sources, hardens the MCP tool registry, captures analyst decisions as feedback to continuously refine agent prompts, and adds a local vector store for retrieval-augmented context across historical incidents — all while keeping every model and computation on infrastructure the operator controls.</w:t>
      </w:r>
    </w:p>
    <w:p>
      <w:pPr>
        <w:spacing w:before="320" w:after="100"/>
        <w:pBdr>
          <w:bottom w:val="single" w:sz="10" w:space="4" w:color="2E6FB5"/>
        </w:pBdr>
      </w:pPr>
      <w:r>
        <w:rPr>
          <w:b/>
          <w:color w:val="2E6FB5"/>
          <w:sz w:val="30"/>
        </w:rPr>
        <w:t xml:space="preserve">8   </w:t>
      </w:r>
      <w:r>
        <w:rPr>
          <w:b/>
          <w:color w:val="1B2A4A"/>
          <w:sz w:val="30"/>
        </w:rPr>
        <w:t>Conclusion</w:t>
      </w:r>
    </w:p>
    <w:p>
      <w:pPr>
        <w:jc w:val="both"/>
      </w:pPr>
      <w:r>
        <w:t>SENTINEL-AI demonstrates that a fully on-premise, open-weight language model can drive a credible multi-agent SOC: detecting, investigating, mitigating and patching, with the analyst retained as the authority and the data never leaving the host. Many specialised agents, coordinated into one disciplined reasoning flow, give defenders leverage without the privacy and trust compromises that usually accompany AI.</w:t>
      </w:r>
    </w:p>
    <w:p>
      <w:pPr>
        <w:spacing w:before="320" w:after="100"/>
        <w:pBdr>
          <w:bottom w:val="single" w:sz="10" w:space="4" w:color="2E6FB5"/>
        </w:pBdr>
      </w:pPr>
      <w:r>
        <w:rPr>
          <w:b/>
          <w:color w:val="2E6FB5"/>
          <w:sz w:val="30"/>
        </w:rPr>
        <w:t xml:space="preserve">9   </w:t>
      </w:r>
      <w:r>
        <w:rPr>
          <w:b/>
          <w:color w:val="1B2A4A"/>
          <w:sz w:val="30"/>
        </w:rPr>
        <w:t>Source Code &amp; Reproducibility</w:t>
      </w:r>
    </w:p>
    <w:p>
      <w:pPr>
        <w:jc w:val="both"/>
      </w:pPr>
      <w:r>
        <w:t>The complete implementation is maintained in a public repository:</w:t>
      </w:r>
    </w:p>
    <w:p>
      <w:r>
        <w:rPr>
          <w:b/>
          <w:color w:val="2E6FB5"/>
          <w:sz w:val="22"/>
        </w:rPr>
        <w:t>https://github.com/A1610/SENTINEL-AI</w:t>
      </w:r>
    </w:p>
    <w:p>
      <w:pPr>
        <w:spacing w:before="200" w:after="40"/>
      </w:pPr>
      <w:r>
        <w:rPr>
          <w:b/>
          <w:color w:val="1B2A4A"/>
          <w:sz w:val="23"/>
        </w:rPr>
        <w:t>Key modules</w:t>
      </w:r>
    </w:p>
    <w:p>
      <w:pPr>
        <w:pStyle w:val="ListBullet"/>
        <w:spacing w:after="60"/>
        <w:jc w:val="both"/>
      </w:pPr>
      <w:r>
        <w:t>backend/agents/ — orchestrator.py, detection_agent.py, investigation_agent.py, mitigation_agent.py, patch_agent.py, base_agent.py.</w:t>
      </w:r>
    </w:p>
    <w:p>
      <w:pPr>
        <w:pStyle w:val="ListBullet"/>
        <w:spacing w:after="60"/>
        <w:jc w:val="both"/>
      </w:pPr>
      <w:r>
        <w:t>backend/agents/llm_client.py — local Ollama / Mistral 7B integration with structured-JSON reasoning.</w:t>
      </w:r>
    </w:p>
    <w:p>
      <w:pPr>
        <w:pStyle w:val="ListBullet"/>
        <w:spacing w:after="60"/>
        <w:jc w:val="both"/>
      </w:pPr>
      <w:r>
        <w:t>backend/mcp/mcp_server.py — Model Context Protocol tool server.</w:t>
      </w:r>
    </w:p>
    <w:p>
      <w:pPr>
        <w:pStyle w:val="ListBullet"/>
        <w:spacing w:after="60"/>
        <w:jc w:val="both"/>
      </w:pPr>
      <w:r>
        <w:t>backend/ml/ — anomaly_detector.py, sigma_engine.py, feature_extractor.py, sliding_window.py.</w:t>
      </w:r>
    </w:p>
    <w:p>
      <w:pPr>
        <w:pStyle w:val="ListBullet"/>
        <w:spacing w:after="60"/>
        <w:jc w:val="both"/>
      </w:pPr>
      <w:r>
        <w:t>backend/ingestion/ — pipeline.py, log_collector.py and parsers for auth/network/windows/syslog.</w:t>
      </w:r>
    </w:p>
    <w:p>
      <w:pPr>
        <w:pStyle w:val="ListBullet"/>
        <w:spacing w:after="60"/>
        <w:jc w:val="both"/>
      </w:pPr>
      <w:r>
        <w:t>frontend/ — Next.js analyst dashboard.</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52" w:val="center"/>
        <w:tab w:pos="9504" w:val="right"/>
      </w:tabs>
    </w:pPr>
    <w:r>
      <w:rPr>
        <w:color w:val="555B66"/>
        <w:sz w:val="15"/>
      </w:rPr>
      <w:t>SENTINEL-AI Autonomous SOC</w:t>
      <w:tab/>
    </w:r>
    <w:r>
      <w:rPr>
        <w:color w:val="555B66"/>
        <w:sz w:val="15"/>
      </w:rPr>
      <w:fldChar w:fldCharType="begin"/>
      <w:instrText xml:space="preserve">PAGE</w:instrText>
      <w:fldChar w:fldCharType="end"/>
    </w:r>
    <w:r>
      <w:rPr>
        <w:color w:val="555B66"/>
        <w:sz w:val="15"/>
      </w:rPr>
      <w:tab/>
      <w:t>Forensic Cyber Tech · Restricted 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23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