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dxa" w:w="10944"/>
      </w:tblPr>
      <w:tblGrid>
        <w:gridCol w:w="10944"/>
      </w:tblGrid>
      <w:tr>
        <w:trPr>
          <w:trHeight w:val="12900" w:hRule="atLeast"/>
        </w:trPr>
        <w:tc>
          <w:tcPr>
            <w:tcW w:type="dxa" w:w="10944"/>
            <w:shd w:val="clear" w:color="auto" w:fill="142444"/>
            <w:vAlign w:val="top"/>
            <w:tcMar>
              <w:top w:w="460" w:type="dxa"/>
              <w:start w:w="460" w:type="dxa"/>
              <w:bottom w:w="460" w:type="dxa"/>
              <w:end w:w="460" w:type="dxa"/>
            </w:tcMar>
          </w:tcPr>
          <w:p>
            <w:r>
              <w:rPr>
                <w:b/>
                <w:color w:val="6FA8DC"/>
                <w:sz w:val="22"/>
                <w:spacing w:val="40"/>
              </w:rPr>
              <w:t>FORENSIC CYBER TECH</w:t>
            </w:r>
          </w:p>
          <w:p>
            <w:pPr>
              <w:jc w:val="right"/>
            </w:pPr>
            <w:r>
              <w:rPr>
                <w:color w:val="AEB9C9"/>
                <w:sz w:val="18"/>
                <w:spacing w:val="40"/>
              </w:rPr>
              <w:t>TECHNICAL WHITE PAPER   ·   VERSION 1.0</w:t>
            </w:r>
          </w:p>
          <w:p/>
          <w:p/>
          <w:p>
            <w:pPr>
              <w:spacing w:line="254" w:lineRule="auto" w:after="0"/>
            </w:pPr>
            <w:r>
              <w:rPr>
                <w:b/>
                <w:color w:val="FFFFFF"/>
                <w:sz w:val="60"/>
              </w:rPr>
              <w:t>A Locally-Hosted</w:t>
              <w:br/>
            </w:r>
            <w:r>
              <w:rPr>
                <w:b/>
                <w:color w:val="FFFFFF"/>
                <w:sz w:val="60"/>
              </w:rPr>
              <w:t>Retrieval-</w:t>
              <w:br/>
            </w:r>
            <w:r>
              <w:rPr>
                <w:b/>
                <w:color w:val="FFFFFF"/>
                <w:sz w:val="60"/>
              </w:rPr>
              <w:t>Augmented LLM</w:t>
              <w:br/>
            </w:r>
            <w:r>
              <w:rPr>
                <w:b/>
                <w:color w:val="FFFFFF"/>
                <w:sz w:val="60"/>
              </w:rPr>
              <w:t>Assistant</w:t>
            </w:r>
          </w:p>
          <w:p>
            <w:pPr>
              <w:spacing w:before="240"/>
            </w:pPr>
            <w:r>
              <w:rPr>
                <w:b/>
                <w:color w:val="2E6FB5"/>
                <w:sz w:val="24"/>
              </w:rPr>
              <w:t>────────────</w:t>
            </w:r>
          </w:p>
          <w:p>
            <w:pPr>
              <w:spacing w:before="320" w:line="312" w:lineRule="auto"/>
            </w:pPr>
            <w:r>
              <w:rPr>
                <w:color w:val="D7DEE8"/>
                <w:sz w:val="26"/>
              </w:rPr>
              <w:t>A grounded question-answering assistant built on a locally-hosted open-weight language model: it answers from a curated, trusted knowledge base injected as context at query time, so its responses stay accurate — and runs entirely on-premise.</w:t>
            </w:r>
          </w:p>
          <w:p>
            <w:pPr>
              <w:spacing w:before="200"/>
            </w:pPr>
            <w:r>
              <w:rPr>
                <w:i/>
                <w:color w:val="AEB9C9"/>
                <w:sz w:val="21"/>
              </w:rPr>
              <w:t>Ground the model in trusted source material. Keep it local. Answer from evidence, not from memory alone.</w:t>
            </w:r>
          </w:p>
          <w:p/>
          <w:p/>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dxa" w:w="9936"/>
            </w:tblPr>
            <w:tblGrid>
              <w:gridCol w:w="2736"/>
              <w:gridCol w:w="2736"/>
              <w:gridCol w:w="2736"/>
              <w:gridCol w:w="2736"/>
            </w:tblGrid>
            <w:tr>
              <w:tc>
                <w:tcPr>
                  <w:tcW w:type="dxa" w:w="2736"/>
                  <w:shd w:val="clear" w:color="auto" w:fill="142444"/>
                </w:tcPr>
                <w:p>
                  <w:r/>
                  <w:r>
                    <w:rPr>
                      <w:b/>
                      <w:color w:val="6FA8DC"/>
                      <w:sz w:val="18"/>
                    </w:rPr>
                    <w:t>Prepared for</w:t>
                  </w:r>
                </w:p>
              </w:tc>
              <w:tc>
                <w:tcPr>
                  <w:tcW w:type="dxa" w:w="2736"/>
                  <w:shd w:val="clear" w:color="auto" w:fill="142444"/>
                </w:tcPr>
                <w:p>
                  <w:r/>
                  <w:r>
                    <w:rPr>
                      <w:b/>
                      <w:color w:val="6FA8DC"/>
                      <w:sz w:val="18"/>
                    </w:rPr>
                    <w:t>Issued</w:t>
                  </w:r>
                </w:p>
              </w:tc>
              <w:tc>
                <w:tcPr>
                  <w:tcW w:type="dxa" w:w="2736"/>
                  <w:shd w:val="clear" w:color="auto" w:fill="142444"/>
                </w:tcPr>
                <w:p>
                  <w:r/>
                  <w:r>
                    <w:rPr>
                      <w:b/>
                      <w:color w:val="6FA8DC"/>
                      <w:sz w:val="18"/>
                    </w:rPr>
                    <w:t>Author</w:t>
                  </w:r>
                </w:p>
              </w:tc>
              <w:tc>
                <w:tcPr>
                  <w:tcW w:type="dxa" w:w="2736"/>
                  <w:shd w:val="clear" w:color="auto" w:fill="142444"/>
                </w:tcPr>
                <w:p>
                  <w:r/>
                  <w:r>
                    <w:rPr>
                      <w:b/>
                      <w:color w:val="6FA8DC"/>
                      <w:sz w:val="18"/>
                    </w:rPr>
                    <w:t>Handling</w:t>
                  </w:r>
                </w:p>
              </w:tc>
            </w:tr>
            <w:tr>
              <w:tc>
                <w:tcPr>
                  <w:tcW w:type="dxa" w:w="2736"/>
                  <w:shd w:val="clear" w:color="auto" w:fill="142444"/>
                </w:tcPr>
                <w:p>
                  <w:r/>
                  <w:r>
                    <w:rPr>
                      <w:color w:val="AEB9C9"/>
                      <w:sz w:val="17"/>
                    </w:rPr>
                    <w:t>Applied-AI &amp; knowledge-systems stakeholders</w:t>
                  </w:r>
                </w:p>
              </w:tc>
              <w:tc>
                <w:tcPr>
                  <w:tcW w:type="dxa" w:w="2736"/>
                  <w:shd w:val="clear" w:color="auto" w:fill="142444"/>
                </w:tcPr>
                <w:p>
                  <w:r/>
                  <w:r>
                    <w:rPr>
                      <w:color w:val="AEB9C9"/>
                      <w:sz w:val="17"/>
                    </w:rPr>
                    <w:t>June 2026</w:t>
                  </w:r>
                </w:p>
              </w:tc>
              <w:tc>
                <w:tcPr>
                  <w:tcW w:type="dxa" w:w="2736"/>
                  <w:shd w:val="clear" w:color="auto" w:fill="142444"/>
                </w:tcPr>
                <w:p>
                  <w:r/>
                  <w:r>
                    <w:rPr>
                      <w:color w:val="AEB9C9"/>
                      <w:sz w:val="17"/>
                    </w:rPr>
                    <w:t>Arsh Saiyad</w:t>
                    <w:br/>
                  </w:r>
                  <w:r>
                    <w:rPr>
                      <w:color w:val="AEB9C9"/>
                      <w:sz w:val="17"/>
                    </w:rPr>
                    <w:t>Machine Learning / AI Engineer, Forensic Cyber Tech</w:t>
                  </w:r>
                </w:p>
              </w:tc>
              <w:tc>
                <w:tcPr>
                  <w:tcW w:type="dxa" w:w="2736"/>
                  <w:shd w:val="clear" w:color="auto" w:fill="142444"/>
                </w:tcPr>
                <w:p>
                  <w:r/>
                  <w:r>
                    <w:rPr>
                      <w:color w:val="AEB9C9"/>
                      <w:sz w:val="17"/>
                    </w:rPr>
                    <w:t>Restricted distribution</w:t>
                  </w:r>
                </w:p>
              </w:tc>
            </w:tr>
          </w:tbl>
          <w:p/>
        </w:tc>
      </w:tr>
    </w:tbl>
    <w:p>
      <w:pPr>
        <w:spacing w:before="0" w:after="0" w:line="40" w:lineRule="exact"/>
        <w:sectPr>
          <w:pgSz w:w="12240" w:h="15840"/>
          <w:pgMar w:top="648" w:right="648" w:bottom="648" w:left="648" w:header="720" w:footer="720" w:gutter="0"/>
          <w:cols w:space="720"/>
          <w:docGrid w:linePitch="360"/>
        </w:sectPr>
      </w:pPr>
    </w:p>
    <w:p>
      <w:pPr>
        <w:spacing w:before="320" w:after="100"/>
        <w:pBdr>
          <w:bottom w:val="single" w:sz="10" w:space="4" w:color="2E6FB5"/>
        </w:pBdr>
      </w:pPr>
      <w:r>
        <w:rPr>
          <w:b/>
          <w:color w:val="2E6FB5"/>
          <w:sz w:val="30"/>
        </w:rPr>
        <w:t xml:space="preserve">1   </w:t>
      </w:r>
      <w:r>
        <w:rPr>
          <w:b/>
          <w:color w:val="1B2A4A"/>
          <w:sz w:val="30"/>
        </w:rPr>
        <w:t>Executive Summary</w:t>
      </w:r>
    </w:p>
    <w:p>
      <w:pPr>
        <w:jc w:val="both"/>
      </w:pPr>
      <w:r>
        <w:t xml:space="preserve">This paper describes a </w:t>
      </w:r>
      <w:r>
        <w:rPr>
          <w:b/>
        </w:rPr>
        <w:t>retrieval-augmented question-answering assistant</w:t>
      </w:r>
      <w:r>
        <w:t xml:space="preserve"> built on a locally-hosted open-weight language model. General-purpose models answer fluently but can fabricate facts they were never given; the standard remedy is </w:t>
      </w:r>
      <w:r>
        <w:rPr>
          <w:b/>
        </w:rPr>
        <w:t>retrieval augmentation</w:t>
      </w:r>
      <w:r>
        <w:t xml:space="preserve"> — supplying the model with relevant, trusted source material at query time so its answer is grounded in real information. The assistant applies this principle to a university-information domain, serving accurate answers from a curated knowledge base through a model that runs entirely on the local machine.</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dxa" w:w="9432"/>
      </w:tblPr>
      <w:tblGrid>
        <w:gridCol w:w="9504"/>
      </w:tblGrid>
      <w:tr>
        <w:tc>
          <w:tcPr>
            <w:tcW w:type="dxa" w:w="9504"/>
            <w:shd w:val="clear" w:color="auto" w:fill="EAF1FA"/>
            <w:tcMar>
              <w:top w:w="170" w:type="dxa"/>
              <w:start w:w="170" w:type="dxa"/>
              <w:bottom w:w="170" w:type="dxa"/>
              <w:end w:w="170" w:type="dxa"/>
            </w:tcMar>
            <w:tcBorders>
              <w:left w:val="single" w:sz="24" w:space="0" w:color="9FBFE3"/>
            </w:tcBorders>
          </w:tcPr>
          <w:p>
            <w:pPr>
              <w:spacing w:after="60"/>
            </w:pPr>
            <w:r>
              <w:rPr>
                <w:b/>
                <w:color w:val="2E6FB5"/>
                <w:sz w:val="19"/>
                <w:spacing w:val="20"/>
              </w:rPr>
              <w:t>AT A GLANCE</w:t>
            </w:r>
          </w:p>
          <w:p>
            <w:pPr>
              <w:pStyle w:val="ListBullet"/>
              <w:spacing w:after="40"/>
              <w:jc w:val="both"/>
            </w:pPr>
            <w:r>
              <w:rPr>
                <w:b/>
                <w:sz w:val="19"/>
              </w:rPr>
              <w:t>Model:</w:t>
            </w:r>
            <w:r>
              <w:rPr>
                <w:sz w:val="19"/>
              </w:rPr>
              <w:t xml:space="preserve"> locally-hosted open-weight LLM via Ollama (default Llama 3.1) — no cloud dependency.</w:t>
            </w:r>
          </w:p>
          <w:p>
            <w:pPr>
              <w:pStyle w:val="ListBullet"/>
              <w:spacing w:after="40"/>
              <w:jc w:val="both"/>
            </w:pPr>
            <w:r>
              <w:rPr>
                <w:b/>
                <w:sz w:val="19"/>
              </w:rPr>
              <w:t>Grounding:</w:t>
            </w:r>
            <w:r>
              <w:rPr>
                <w:sz w:val="19"/>
              </w:rPr>
              <w:t xml:space="preserve"> curated knowledge base injected as authoritative context at query time.</w:t>
            </w:r>
          </w:p>
          <w:p>
            <w:pPr>
              <w:pStyle w:val="ListBullet"/>
              <w:spacing w:after="40"/>
              <w:jc w:val="both"/>
            </w:pPr>
            <w:r>
              <w:rPr>
                <w:b/>
                <w:sz w:val="19"/>
              </w:rPr>
              <w:t>Serving:</w:t>
            </w:r>
            <w:r>
              <w:rPr>
                <w:sz w:val="19"/>
              </w:rPr>
              <w:t xml:space="preserve"> async streaming and non-streaming chat; bounded output and context windows.</w:t>
            </w:r>
          </w:p>
          <w:p>
            <w:pPr>
              <w:pStyle w:val="ListBullet"/>
              <w:spacing w:after="40"/>
              <w:jc w:val="both"/>
            </w:pPr>
            <w:r>
              <w:rPr>
                <w:b/>
                <w:sz w:val="19"/>
              </w:rPr>
              <w:t>Interface:</w:t>
            </w:r>
            <w:r>
              <w:rPr>
                <w:sz w:val="19"/>
              </w:rPr>
              <w:t xml:space="preserve"> Streamlit front end over a FastAPI backend.</w:t>
            </w:r>
          </w:p>
          <w:p>
            <w:pPr>
              <w:pStyle w:val="ListBullet"/>
              <w:spacing w:after="40"/>
              <w:jc w:val="both"/>
            </w:pPr>
            <w:r>
              <w:rPr>
                <w:b/>
                <w:sz w:val="19"/>
              </w:rPr>
              <w:t>Deployment:</w:t>
            </w:r>
            <w:r>
              <w:rPr>
                <w:sz w:val="19"/>
              </w:rPr>
              <w:t xml:space="preserve"> environment-driven configuration; runs on an isolated machine.</w:t>
            </w:r>
          </w:p>
          <w:p>
            <w:pPr>
              <w:pStyle w:val="ListBullet"/>
              <w:spacing w:after="40"/>
              <w:jc w:val="both"/>
            </w:pPr>
            <w:r>
              <w:rPr>
                <w:b/>
                <w:sz w:val="19"/>
              </w:rPr>
              <w:t>Roadmap:</w:t>
            </w:r>
            <w:r>
              <w:rPr>
                <w:sz w:val="19"/>
              </w:rPr>
              <w:t xml:space="preserve"> embedding-based semantic retrieval over a vector database (FAISS / Chroma / Qdrant).</w:t>
            </w:r>
          </w:p>
        </w:tc>
      </w:tr>
    </w:tbl>
    <w:p/>
    <w:p>
      <w:pPr>
        <w:spacing w:before="320" w:after="100"/>
        <w:pBdr>
          <w:bottom w:val="single" w:sz="10" w:space="4" w:color="2E6FB5"/>
        </w:pBdr>
      </w:pPr>
      <w:r>
        <w:rPr>
          <w:b/>
          <w:color w:val="2E6FB5"/>
          <w:sz w:val="30"/>
        </w:rPr>
        <w:t xml:space="preserve">2   </w:t>
      </w:r>
      <w:r>
        <w:rPr>
          <w:b/>
          <w:color w:val="1B2A4A"/>
          <w:sz w:val="30"/>
        </w:rPr>
        <w:t>The Problem</w:t>
      </w:r>
    </w:p>
    <w:p>
      <w:pPr>
        <w:jc w:val="both"/>
      </w:pPr>
      <w:r>
        <w:t xml:space="preserve">A language model asked a factual question will answer from its parametric memory whether or not it actually knows — and in domains with specific, changing facts (procedures, links, programme details) that is exactly where confident errors creep in. The fix is not a bigger model but a better-grounded one: give the model the trusted facts it needs at the moment of the question, and instruct it to answer from those rather than from its own recollection. Doing this on a </w:t>
      </w:r>
      <w:r>
        <w:rPr>
          <w:b/>
        </w:rPr>
        <w:t>local</w:t>
      </w:r>
      <w:r>
        <w:t xml:space="preserve"> model adds a second benefit — the questions, and any sensitive context, never leave the machine.</w:t>
      </w:r>
    </w:p>
    <w:p>
      <w:pPr>
        <w:spacing w:before="320" w:after="100"/>
        <w:pBdr>
          <w:bottom w:val="single" w:sz="10" w:space="4" w:color="2E6FB5"/>
        </w:pBdr>
      </w:pPr>
      <w:r>
        <w:rPr>
          <w:b/>
          <w:color w:val="2E6FB5"/>
          <w:sz w:val="30"/>
        </w:rPr>
        <w:t xml:space="preserve">3   </w:t>
      </w:r>
      <w:r>
        <w:rPr>
          <w:b/>
          <w:color w:val="1B2A4A"/>
          <w:sz w:val="30"/>
        </w:rPr>
        <w:t>Architecture</w:t>
      </w:r>
    </w:p>
    <w:p>
      <w:pPr>
        <w:jc w:val="both"/>
      </w:pPr>
      <w:r>
        <w:t>A Streamlit front end sends a question to a FastAPI backend, which assembles a grounded prompt — a compact system prompt, the injected knowledge context, the last few conversational turns, and the user’s question — and calls the local model, streaming the answer back to the user.</w:t>
      </w:r>
    </w:p>
    <w:tbl>
      <w:tblPr>
        <w:tblW w:type="auto" w:w="0"/>
        <w:tblLayout w:type="fixed"/>
        <w:tblLook w:firstColumn="1" w:firstRow="1" w:lastColumn="0" w:lastRow="0" w:noHBand="0" w:noVBand="1" w:val="04A0"/>
        <w:tblW w:type="dxa" w:w="9432"/>
      </w:tblPr>
      <w:tblGrid>
        <w:gridCol w:w="9504"/>
      </w:tblGrid>
      <w:tr>
        <w:tc>
          <w:tcPr>
            <w:tcW w:type="dxa" w:w="9504"/>
            <w:shd w:val="clear" w:color="auto" w:fill="F4F7FB"/>
            <w:tcBorders>
              <w:top w:val="single" w:sz="6" w:space="4" w:color="C2D3E8"/>
              <w:left w:val="single" w:sz="6" w:space="4" w:color="C2D3E8"/>
              <w:bottom w:val="single" w:sz="6" w:space="4" w:color="C2D3E8"/>
              <w:right w:val="single" w:sz="6" w:space="4" w:color="C2D3E8"/>
            </w:tcBorders>
          </w:tcPr>
          <w:p>
            <w:r>
              <w:rPr>
                <w:rFonts w:ascii="Consolas" w:hAnsi="Consolas"/>
                <w:color w:val="1B2A4A"/>
                <w:sz w:val="16"/>
              </w:rPr>
              <w:t xml:space="preserve">  User (Streamlit UI)</w:t>
              <w:br/>
            </w:r>
            <w:r>
              <w:rPr>
                <w:rFonts w:ascii="Consolas" w:hAnsi="Consolas"/>
                <w:color w:val="1B2A4A"/>
                <w:sz w:val="16"/>
              </w:rPr>
              <w:t xml:space="preserve">     |  question</w:t>
              <w:br/>
            </w:r>
            <w:r>
              <w:rPr>
                <w:rFonts w:ascii="Consolas" w:hAnsi="Consolas"/>
                <w:color w:val="1B2A4A"/>
                <w:sz w:val="16"/>
              </w:rPr>
              <w:t xml:space="preserve">     v</w:t>
              <w:br/>
            </w:r>
            <w:r>
              <w:rPr>
                <w:rFonts w:ascii="Consolas" w:hAnsi="Consolas"/>
                <w:color w:val="1B2A4A"/>
                <w:sz w:val="16"/>
              </w:rPr>
              <w:t xml:space="preserve">  FastAPI backend</w:t>
              <w:br/>
            </w:r>
            <w:r>
              <w:rPr>
                <w:rFonts w:ascii="Consolas" w:hAnsi="Consolas"/>
                <w:color w:val="1B2A4A"/>
                <w:sz w:val="16"/>
              </w:rPr>
              <w:t xml:space="preserve">     |  assemble:  system prompt  +  injected knowledge  +  last-3-turn history  +  query</w:t>
              <w:br/>
            </w:r>
            <w:r>
              <w:rPr>
                <w:rFonts w:ascii="Consolas" w:hAnsi="Consolas"/>
                <w:color w:val="1B2A4A"/>
                <w:sz w:val="16"/>
              </w:rPr>
              <w:t xml:space="preserve">     v</w:t>
              <w:br/>
            </w:r>
            <w:r>
              <w:rPr>
                <w:rFonts w:ascii="Consolas" w:hAnsi="Consolas"/>
                <w:color w:val="1B2A4A"/>
                <w:sz w:val="16"/>
              </w:rPr>
              <w:t xml:space="preserve">  Ollama local LLM  (default Llama 3.1)</w:t>
              <w:br/>
            </w:r>
            <w:r>
              <w:rPr>
                <w:rFonts w:ascii="Consolas" w:hAnsi="Consolas"/>
                <w:color w:val="1B2A4A"/>
                <w:sz w:val="16"/>
              </w:rPr>
              <w:t xml:space="preserve">     |  stream tokens</w:t>
              <w:br/>
            </w:r>
            <w:r>
              <w:rPr>
                <w:rFonts w:ascii="Consolas" w:hAnsi="Consolas"/>
                <w:color w:val="1B2A4A"/>
                <w:sz w:val="16"/>
              </w:rPr>
              <w:t xml:space="preserve">     v</w:t>
              <w:br/>
            </w:r>
            <w:r>
              <w:rPr>
                <w:rFonts w:ascii="Consolas" w:hAnsi="Consolas"/>
                <w:color w:val="1B2A4A"/>
                <w:sz w:val="16"/>
              </w:rPr>
              <w:t xml:space="preserve">  Grounded answer  -&gt;  user</w:t>
            </w:r>
          </w:p>
        </w:tc>
      </w:tr>
    </w:tbl>
    <w:p>
      <w:pPr>
        <w:spacing w:before="40"/>
        <w:jc w:val="center"/>
      </w:pPr>
      <w:r>
        <w:rPr>
          <w:i/>
          <w:color w:val="555B66"/>
          <w:sz w:val="17"/>
        </w:rPr>
        <w:t>Figure 1.  Query flow. The backend grounds the local model in curated context before generation, so answers are anchored to trusted source material.</w:t>
      </w:r>
    </w:p>
    <w:p/>
    <w:p>
      <w:pPr>
        <w:spacing w:before="200" w:after="40"/>
      </w:pPr>
      <w:r>
        <w:rPr>
          <w:b/>
          <w:color w:val="1B2A4A"/>
          <w:sz w:val="23"/>
        </w:rPr>
        <w:t>3.1  Retrieval &amp; grounding</w:t>
      </w:r>
    </w:p>
    <w:p>
      <w:pPr>
        <w:jc w:val="both"/>
      </w:pPr>
      <w:r>
        <w:t xml:space="preserve">A knowledge module holds a curated, structured base of authoritative facts, links, programmes and procedures. At query time the relevant context is </w:t>
      </w:r>
      <w:r>
        <w:rPr>
          <w:b/>
        </w:rPr>
        <w:t>injected into the system prompt</w:t>
      </w:r>
      <w:r>
        <w:t>, grounding the response in trusted material rather than parametric memory alone. Conversation history is deliberately truncated to the last three exchanges to control token usage and keep responses fast.</w:t>
      </w:r>
    </w:p>
    <w:p>
      <w:pPr>
        <w:spacing w:before="200" w:after="40"/>
      </w:pPr>
      <w:r>
        <w:rPr>
          <w:b/>
          <w:color w:val="1B2A4A"/>
          <w:sz w:val="23"/>
        </w:rPr>
        <w:t>3.2  Prompt construction</w:t>
      </w:r>
    </w:p>
    <w:p>
      <w:pPr>
        <w:jc w:val="both"/>
      </w:pPr>
      <w:r>
        <w:t xml:space="preserve">Each request is built as a short, ordered message sequence: a compact </w:t>
      </w:r>
      <w:r>
        <w:rPr>
          <w:b/>
        </w:rPr>
        <w:t>system prompt</w:t>
      </w:r>
      <w:r>
        <w:t xml:space="preserve"> that sets the assistant’s role and instructs it to answer only from the supplied context (and to defer to the official source when unsure), the </w:t>
      </w:r>
      <w:r>
        <w:rPr>
          <w:b/>
        </w:rPr>
        <w:t>injected knowledge</w:t>
      </w:r>
      <w:r>
        <w:t xml:space="preserve"> relevant to the domain, the </w:t>
      </w:r>
      <w:r>
        <w:rPr>
          <w:b/>
        </w:rPr>
        <w:t>last three conversational turns</w:t>
      </w:r>
      <w:r>
        <w:t xml:space="preserve"> for follow-up continuity, and finally the user’s current question. Keeping the system prompt compact and the history bounded is a deliberate token-budget decision: it leaves the model room to reason while keeping latency low on local hardware.</w:t>
      </w:r>
    </w:p>
    <w:p>
      <w:pPr>
        <w:spacing w:before="200" w:after="40"/>
      </w:pPr>
      <w:r>
        <w:rPr>
          <w:b/>
          <w:color w:val="1B2A4A"/>
          <w:sz w:val="23"/>
        </w:rPr>
        <w:t>3.3  Serving</w:t>
      </w:r>
    </w:p>
    <w:p>
      <w:pPr>
        <w:jc w:val="both"/>
      </w:pPr>
      <w:r>
        <w:t>An asynchronous Ollama client supports both streaming and non-streaming chat, assembling messages in the standard chat format with a low, bounded output length for responsiveness. Streaming returns tokens as they are produced so the interface feels immediate; the non-streaming path accumulates the full response where a complete answer is needed at once. The model runs locally, so the assistant functions with no external API.</w:t>
      </w:r>
    </w:p>
    <w:p>
      <w:pPr>
        <w:spacing w:before="200" w:after="40"/>
      </w:pPr>
      <w:r>
        <w:rPr>
          <w:b/>
          <w:color w:val="1B2A4A"/>
          <w:sz w:val="23"/>
        </w:rPr>
        <w:t>3.4  Why local matters here</w:t>
      </w:r>
    </w:p>
    <w:p>
      <w:pPr>
        <w:jc w:val="both"/>
      </w:pPr>
      <w:r>
        <w:t>Running the model on the same machine as the application is not only a privacy choice — it also removes per-query cost and network latency, makes behaviour reproducible (the same model version answers the same way), and lets the assistant operate on isolated networks where no external API is reachable. The trade-off is that model size is bounded by local hardware, which is precisely why grounding the model in trusted context matters: accuracy comes from the retrieved evidence, not from an ever-larger model.</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dxa" w:w="9432"/>
      </w:tblPr>
      <w:tblGrid>
        <w:gridCol w:w="9504"/>
      </w:tblGrid>
      <w:tr>
        <w:tc>
          <w:tcPr>
            <w:tcW w:type="dxa" w:w="9504"/>
            <w:shd w:val="clear" w:color="auto" w:fill="FBF4E6"/>
            <w:tcMar>
              <w:top w:w="170" w:type="dxa"/>
              <w:start w:w="170" w:type="dxa"/>
              <w:bottom w:w="170" w:type="dxa"/>
              <w:end w:w="170" w:type="dxa"/>
            </w:tcMar>
            <w:tcBorders>
              <w:left w:val="single" w:sz="24" w:space="0" w:color="E4CF95"/>
            </w:tcBorders>
          </w:tcPr>
          <w:p>
            <w:pPr>
              <w:spacing w:after="60"/>
            </w:pPr>
            <w:r>
              <w:rPr>
                <w:b/>
                <w:color w:val="B57A12"/>
                <w:sz w:val="19"/>
                <w:spacing w:val="20"/>
              </w:rPr>
              <w:t>CURRENT POSTURE AND NEXT STEP</w:t>
            </w:r>
          </w:p>
          <w:p>
            <w:pPr>
              <w:spacing w:after="40"/>
              <w:jc w:val="both"/>
            </w:pPr>
            <w:r>
              <w:rPr>
                <w:sz w:val="19"/>
              </w:rPr>
              <w:t>Today the assistant grounds the model through structured context injection — effective for a curated knowledge base. The natural next step is embedding-based semantic retrieval backed by a vector database (FAISS, Chroma or Qdrant), which selects the most relevant passages dynamically and scales grounding from a curated base to arbitrarily large document corpora.</w:t>
            </w:r>
          </w:p>
        </w:tc>
      </w:tr>
    </w:tbl>
    <w:p/>
    <w:p>
      <w:pPr>
        <w:spacing w:before="320" w:after="100"/>
        <w:pBdr>
          <w:bottom w:val="single" w:sz="10" w:space="4" w:color="2E6FB5"/>
        </w:pBdr>
      </w:pPr>
      <w:r>
        <w:rPr>
          <w:b/>
          <w:color w:val="2E6FB5"/>
          <w:sz w:val="30"/>
        </w:rPr>
        <w:t xml:space="preserve">4   </w:t>
      </w:r>
      <w:r>
        <w:rPr>
          <w:b/>
          <w:color w:val="1B2A4A"/>
          <w:sz w:val="30"/>
        </w:rPr>
        <w:t>Technology Stack</w:t>
      </w:r>
    </w:p>
    <w:tbl>
      <w:tblPr>
        <w:tblStyle w:val="TableGrid"/>
        <w:tblW w:type="auto" w:w="0"/>
        <w:jc w:val="center"/>
        <w:tblLayout w:type="fixed"/>
        <w:tblLook w:firstColumn="1" w:firstRow="1" w:lastColumn="0" w:lastRow="0" w:noHBand="0" w:noVBand="1" w:val="04A0"/>
        <w:tblW w:type="dxa" w:w="9432"/>
      </w:tblPr>
      <w:tblGrid>
        <w:gridCol w:w="4752"/>
        <w:gridCol w:w="4752"/>
      </w:tblGrid>
      <w:tr>
        <w:tc>
          <w:tcPr>
            <w:tcW w:type="dxa" w:w="4752"/>
            <w:shd w:val="clear" w:color="auto" w:fill="1B2A4A"/>
          </w:tcPr>
          <w:p>
            <w:r/>
            <w:r>
              <w:rPr>
                <w:b/>
                <w:color w:val="FFFFFF"/>
                <w:sz w:val="19"/>
              </w:rPr>
              <w:t>Layer</w:t>
            </w:r>
          </w:p>
        </w:tc>
        <w:tc>
          <w:tcPr>
            <w:tcW w:type="dxa" w:w="4752"/>
            <w:shd w:val="clear" w:color="auto" w:fill="1B2A4A"/>
          </w:tcPr>
          <w:p>
            <w:r/>
            <w:r>
              <w:rPr>
                <w:b/>
                <w:color w:val="FFFFFF"/>
                <w:sz w:val="19"/>
              </w:rPr>
              <w:t>Technologies</w:t>
            </w:r>
          </w:p>
        </w:tc>
      </w:tr>
      <w:tr>
        <w:tc>
          <w:tcPr>
            <w:tcW w:type="dxa" w:w="4752"/>
          </w:tcPr>
          <w:p>
            <w:r/>
            <w:r>
              <w:rPr>
                <w:b/>
                <w:color w:val="1B2A4A"/>
                <w:sz w:val="18"/>
              </w:rPr>
              <w:t>Language model</w:t>
            </w:r>
          </w:p>
        </w:tc>
        <w:tc>
          <w:tcPr>
            <w:tcW w:type="dxa" w:w="4752"/>
          </w:tcPr>
          <w:p>
            <w:r/>
            <w:r>
              <w:rPr>
                <w:color w:val="232933"/>
                <w:sz w:val="18"/>
              </w:rPr>
              <w:t>Ollama (local) · default Llama 3.1</w:t>
            </w:r>
          </w:p>
        </w:tc>
      </w:tr>
      <w:tr>
        <w:tc>
          <w:tcPr>
            <w:tcW w:type="dxa" w:w="4752"/>
            <w:shd w:val="clear" w:color="auto" w:fill="EEF2F7"/>
          </w:tcPr>
          <w:p>
            <w:r/>
            <w:r>
              <w:rPr>
                <w:b/>
                <w:color w:val="1B2A4A"/>
                <w:sz w:val="18"/>
              </w:rPr>
              <w:t>Backend</w:t>
            </w:r>
          </w:p>
        </w:tc>
        <w:tc>
          <w:tcPr>
            <w:tcW w:type="dxa" w:w="4752"/>
            <w:shd w:val="clear" w:color="auto" w:fill="EEF2F7"/>
          </w:tcPr>
          <w:p>
            <w:r/>
            <w:r>
              <w:rPr>
                <w:color w:val="232933"/>
                <w:sz w:val="18"/>
              </w:rPr>
              <w:t>Python · FastAPI · async httpx · Pydantic</w:t>
            </w:r>
          </w:p>
        </w:tc>
      </w:tr>
      <w:tr>
        <w:tc>
          <w:tcPr>
            <w:tcW w:type="dxa" w:w="4752"/>
          </w:tcPr>
          <w:p>
            <w:r/>
            <w:r>
              <w:rPr>
                <w:b/>
                <w:color w:val="1B2A4A"/>
                <w:sz w:val="18"/>
              </w:rPr>
              <w:t>Frontend</w:t>
            </w:r>
          </w:p>
        </w:tc>
        <w:tc>
          <w:tcPr>
            <w:tcW w:type="dxa" w:w="4752"/>
          </w:tcPr>
          <w:p>
            <w:r/>
            <w:r>
              <w:rPr>
                <w:color w:val="232933"/>
                <w:sz w:val="18"/>
              </w:rPr>
              <w:t>Streamlit</w:t>
            </w:r>
          </w:p>
        </w:tc>
      </w:tr>
      <w:tr>
        <w:tc>
          <w:tcPr>
            <w:tcW w:type="dxa" w:w="4752"/>
            <w:shd w:val="clear" w:color="auto" w:fill="EEF2F7"/>
          </w:tcPr>
          <w:p>
            <w:r/>
            <w:r>
              <w:rPr>
                <w:b/>
                <w:color w:val="1B2A4A"/>
                <w:sz w:val="18"/>
              </w:rPr>
              <w:t>Retrieval</w:t>
            </w:r>
          </w:p>
        </w:tc>
        <w:tc>
          <w:tcPr>
            <w:tcW w:type="dxa" w:w="4752"/>
            <w:shd w:val="clear" w:color="auto" w:fill="EEF2F7"/>
          </w:tcPr>
          <w:p>
            <w:r/>
            <w:r>
              <w:rPr>
                <w:color w:val="232933"/>
                <w:sz w:val="18"/>
              </w:rPr>
              <w:t>Curated knowledge base + context injection (vector-DB-ready)</w:t>
            </w:r>
          </w:p>
        </w:tc>
      </w:tr>
    </w:tbl>
    <w:p/>
    <w:p>
      <w:pPr>
        <w:spacing w:before="320" w:after="100"/>
        <w:pBdr>
          <w:bottom w:val="single" w:sz="10" w:space="4" w:color="2E6FB5"/>
        </w:pBdr>
      </w:pPr>
      <w:r>
        <w:rPr>
          <w:b/>
          <w:color w:val="2E6FB5"/>
          <w:sz w:val="30"/>
        </w:rPr>
        <w:t xml:space="preserve">5   </w:t>
      </w:r>
      <w:r>
        <w:rPr>
          <w:b/>
          <w:color w:val="1B2A4A"/>
          <w:sz w:val="30"/>
        </w:rPr>
        <w:t>Conclusion &amp; Outlook</w:t>
      </w:r>
    </w:p>
    <w:p>
      <w:pPr>
        <w:jc w:val="both"/>
      </w:pPr>
      <w:r>
        <w:t>The assistant demonstrates grounded, retrieval-augmented question answering on a fully local open-weight model with a clean full-stack implementation. Its roadmap introduces embedding-based semantic retrieval, document chunking and relevance ranking over a vector database — scaling the same grounding principle from a curated knowledge base to large document collections, while keeping every model and computation on the local machine.</w:t>
      </w:r>
    </w:p>
    <w:p>
      <w:pPr>
        <w:spacing w:before="320" w:after="100"/>
        <w:pBdr>
          <w:bottom w:val="single" w:sz="10" w:space="4" w:color="2E6FB5"/>
        </w:pBdr>
      </w:pPr>
      <w:r>
        <w:rPr>
          <w:b/>
          <w:color w:val="2E6FB5"/>
          <w:sz w:val="30"/>
        </w:rPr>
        <w:t xml:space="preserve">6   </w:t>
      </w:r>
      <w:r>
        <w:rPr>
          <w:b/>
          <w:color w:val="1B2A4A"/>
          <w:sz w:val="30"/>
        </w:rPr>
        <w:t>References</w:t>
      </w:r>
    </w:p>
    <w:p>
      <w:pPr>
        <w:spacing w:after="40"/>
        <w:ind w:left="360" w:hanging="360"/>
      </w:pPr>
      <w:r>
        <w:rPr>
          <w:color w:val="555B66"/>
          <w:sz w:val="18"/>
        </w:rPr>
        <w:t>Lewis et al. Retrieval-Augmented Generation for Knowledge-Intensive NLP Tasks. NeurIPS 2020.</w:t>
      </w:r>
    </w:p>
    <w:p>
      <w:pPr>
        <w:spacing w:after="40"/>
        <w:ind w:left="360" w:hanging="360"/>
      </w:pPr>
      <w:r>
        <w:rPr>
          <w:color w:val="555B66"/>
          <w:sz w:val="18"/>
        </w:rPr>
        <w:t>Touvron et al. Llama: Open and Efficient Foundation Language Models. 2023.</w:t>
      </w:r>
    </w:p>
    <w:p>
      <w:pPr>
        <w:spacing w:before="320" w:after="100"/>
        <w:pBdr>
          <w:bottom w:val="single" w:sz="10" w:space="4" w:color="2E6FB5"/>
        </w:pBdr>
      </w:pPr>
      <w:r>
        <w:rPr>
          <w:b/>
          <w:color w:val="2E6FB5"/>
          <w:sz w:val="30"/>
        </w:rPr>
        <w:t xml:space="preserve">7   </w:t>
      </w:r>
      <w:r>
        <w:rPr>
          <w:b/>
          <w:color w:val="1B2A4A"/>
          <w:sz w:val="30"/>
        </w:rPr>
        <w:t>Source Code &amp; Reproducibility</w:t>
      </w:r>
    </w:p>
    <w:p>
      <w:pPr>
        <w:jc w:val="both"/>
      </w:pPr>
      <w:r>
        <w:t>The complete implementation is maintained in a public repository:</w:t>
      </w:r>
    </w:p>
    <w:p>
      <w:r>
        <w:rPr>
          <w:b/>
          <w:color w:val="2E6FB5"/>
          <w:sz w:val="22"/>
        </w:rPr>
        <w:t>https://github.com/A1610/gtu-poc2</w:t>
      </w:r>
    </w:p>
    <w:p>
      <w:pPr>
        <w:spacing w:before="200" w:after="40"/>
      </w:pPr>
      <w:r>
        <w:rPr>
          <w:b/>
          <w:color w:val="1B2A4A"/>
          <w:sz w:val="23"/>
        </w:rPr>
        <w:t>Key modules</w:t>
      </w:r>
    </w:p>
    <w:p>
      <w:pPr>
        <w:pStyle w:val="ListBullet"/>
        <w:spacing w:after="60"/>
        <w:jc w:val="both"/>
      </w:pPr>
      <w:r>
        <w:t>backend/llm_service.py — local Ollama LLM serving (streaming + non-streaming chat).</w:t>
      </w:r>
    </w:p>
    <w:p>
      <w:pPr>
        <w:pStyle w:val="ListBullet"/>
        <w:spacing w:after="60"/>
        <w:jc w:val="both"/>
      </w:pPr>
      <w:r>
        <w:t>backend/gtu_knowledge.py — curated knowledge base and context-injection retrieval.</w:t>
      </w:r>
    </w:p>
    <w:p>
      <w:pPr>
        <w:pStyle w:val="ListBullet"/>
        <w:spacing w:after="60"/>
        <w:jc w:val="both"/>
      </w:pPr>
      <w:r>
        <w:t>backend/app.py — FastAPI backend; streamlit_app.py — user interface.</w:t>
      </w:r>
    </w:p>
    <w:p>
      <w:pPr>
        <w:pStyle w:val="ListBullet"/>
        <w:spacing w:after="60"/>
        <w:jc w:val="both"/>
      </w:pPr>
      <w:r>
        <w:t>DOCUMENTATION.md — design notes. Companion repository: github.com/A1610/GTU_Chatbot.</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52" w:val="center"/>
        <w:tab w:pos="9504" w:val="right"/>
      </w:tabs>
    </w:pPr>
    <w:r>
      <w:rPr>
        <w:color w:val="555B66"/>
        <w:sz w:val="15"/>
      </w:rPr>
      <w:t>Retrieval-Augmented LLM Assistant</w:t>
      <w:tab/>
    </w:r>
    <w:r>
      <w:rPr>
        <w:color w:val="555B66"/>
        <w:sz w:val="15"/>
      </w:rPr>
      <w:fldChar w:fldCharType="begin"/>
      <w:instrText xml:space="preserve">PAGE</w:instrText>
      <w:fldChar w:fldCharType="end"/>
    </w:r>
    <w:r>
      <w:rPr>
        <w:color w:val="555B66"/>
        <w:sz w:val="15"/>
      </w:rPr>
      <w:tab/>
      <w:t>Forensic Cyber Tech · Restricted distribution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23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