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40"/>
        </w:rPr>
        <w:t>A Multi-Model Machine-Learning Ensemble</w:t>
        <w:br/>
        <w:t>for Behavioural Threat Detection</w:t>
      </w:r>
    </w:p>
    <w:p>
      <w:pPr>
        <w:jc w:val="center"/>
      </w:pPr>
      <w:r>
        <w:rPr>
          <w:i/>
          <w:color w:val="9A5B00"/>
          <w:sz w:val="24"/>
        </w:rPr>
        <w:t>Architecture, Training Methodology, and Applied Transformer-LLM Integration</w:t>
      </w:r>
    </w:p>
    <w:p>
      <w:pPr>
        <w:jc w:val="center"/>
      </w:pPr>
      <w:r>
        <w:rPr>
          <w:b/>
          <w:color w:val="555F6B"/>
          <w:sz w:val="21"/>
        </w:rPr>
        <w:t>Technical White Paper</w:t>
      </w:r>
    </w:p>
    <w:p/>
    <w:p>
      <w:pPr>
        <w:spacing w:after="40"/>
        <w:jc w:val="center"/>
      </w:pPr>
      <w:r>
        <w:rPr>
          <w:b/>
          <w:sz w:val="19"/>
        </w:rPr>
        <w:t xml:space="preserve">Prepared by:  </w:t>
      </w:r>
      <w:r>
        <w:rPr>
          <w:color w:val="555F6B"/>
          <w:sz w:val="19"/>
        </w:rPr>
        <w:t>Forensic Cyber Tech — ML &amp; Security Engineering Team</w:t>
      </w:r>
    </w:p>
    <w:p>
      <w:pPr>
        <w:spacing w:after="40"/>
        <w:jc w:val="center"/>
      </w:pPr>
      <w:r>
        <w:rPr>
          <w:b/>
          <w:sz w:val="19"/>
        </w:rPr>
        <w:t xml:space="preserve">Author:  </w:t>
      </w:r>
      <w:r>
        <w:rPr>
          <w:color w:val="555F6B"/>
          <w:sz w:val="19"/>
        </w:rPr>
        <w:t>[Applicant name]</w:t>
      </w:r>
    </w:p>
    <w:p>
      <w:pPr>
        <w:spacing w:after="40"/>
        <w:jc w:val="center"/>
      </w:pPr>
      <w:r>
        <w:rPr>
          <w:b/>
          <w:sz w:val="19"/>
        </w:rPr>
        <w:t xml:space="preserve">Version:  </w:t>
      </w:r>
      <w:r>
        <w:rPr>
          <w:color w:val="555F6B"/>
          <w:sz w:val="19"/>
        </w:rPr>
        <w:t>1.0     |     Date: June 2026</w:t>
      </w:r>
    </w:p>
    <w:p>
      <w:pPr>
        <w:spacing w:after="40"/>
        <w:jc w:val="center"/>
      </w:pPr>
      <w:r>
        <w:rPr>
          <w:b/>
          <w:sz w:val="19"/>
        </w:rPr>
        <w:t xml:space="preserve">Domain:  </w:t>
      </w:r>
      <w:r>
        <w:rPr>
          <w:color w:val="555F6B"/>
          <w:sz w:val="19"/>
        </w:rPr>
        <w:t>Cyber-defence · User &amp; Entity Behaviour Analytics (UEBA) · Applied Machine Learning</w:t>
      </w:r>
    </w:p>
    <w:p>
      <w:pPr>
        <w:jc w:val="center"/>
      </w:pPr>
      <w:r>
        <w:t>————————————————————————————————————————</w:t>
      </w:r>
    </w:p>
    <w:p>
      <w:pPr>
        <w:pStyle w:val="Heading1"/>
      </w:pPr>
      <w:r>
        <w:rPr>
          <w:color w:val="9A5B00"/>
          <w:sz w:val="30"/>
        </w:rPr>
        <w:t>Abstract</w:t>
      </w:r>
    </w:p>
    <w:p>
      <w:r>
        <w:rPr>
          <w:i w:val="0"/>
        </w:rPr>
        <w:t>This white paper documents the machine-learning subsystem of a production User &amp; Entity Behaviour Analytics (UEBA) platform built for enterprise and defence-grade Active Directory / Windows environments. The subsystem detects credential compromise, insider threats, and lateral movement — attacks that use valid access and therefore evade signature-based controls — by learning each entity's normal behaviour and scoring deviations from it.</w:t>
      </w:r>
    </w:p>
    <w:p>
      <w:r>
        <w:rPr>
          <w:i w:val="0"/>
        </w:rPr>
        <w:t>The contribution is a ten-component detection ensemble that fuses (a) deep-learning models designed and trained in-house — a representation-learning Autoencoder and a sequence-modelling LSTM, both implemented and trained in PyTorch on GPU; (b) classical unsupervised learners (Isolation Forest, Local Outlier Factor, One-Class SVM); (c) statistical and rule-based detectors; and (d) an applied transformer-based Large Language Model (LLM) layer for explainability and natural-language investigation.</w:t>
      </w:r>
    </w:p>
    <w:p>
      <w:r>
        <w:rPr>
          <w:i w:val="0"/>
        </w:rPr>
        <w:t>The paper details the model architectures, training procedures, online/streaming statistics, ensemble fusion and calibration, and an honest account of observed model-failure modes (score saturation under heavy-tailed feature distributions) and the evidence-based calibration used to mitigate them. We are explicit about the distinction between training deep models from scratch (Autoencoder, LSTM) and applying pre-trained transformer LLMs via inference (the explainability layer); the system does not train or fine-tune the transformer LLM, and we treat that as planned future work.</w:t>
      </w:r>
    </w:p>
    <w:p>
      <w:pPr>
        <w:pStyle w:val="Heading1"/>
      </w:pPr>
      <w:r>
        <w:rPr>
          <w:color w:val="9A5B00"/>
          <w:sz w:val="30"/>
        </w:rPr>
        <w:t>1. Introduction and Motivation</w:t>
      </w:r>
    </w:p>
    <w:p>
      <w:r>
        <w:rPr>
          <w:i w:val="0"/>
        </w:rPr>
        <w:t>Perimeter and signature tools (firewalls, antivirus, static SIEM correlation) are blind to the most damaging modern intrusions, because the adversary operates with legitimate credentials. There is no malware to match and no rule to write — the only observable signal is a change in behaviour.</w:t>
      </w:r>
    </w:p>
    <w:p>
      <w:r>
        <w:rPr>
          <w:i w:val="0"/>
        </w:rPr>
        <w:t>UEBA reframes detection as an anomaly-detection and behavioural-deviation problem: build a statistical and learned model of “normal” for every user and entity, then quantify how far current activity departs from that model. The central engineering challenges are:</w:t>
      </w:r>
    </w:p>
    <w:p>
      <w:pPr>
        <w:pStyle w:val="ListBullet"/>
      </w:pPr>
      <w:r>
        <w:rPr>
          <w:b/>
        </w:rPr>
        <w:t xml:space="preserve">Heterogeneous, heavy-tailed data. </w:t>
      </w:r>
      <w:r>
        <w:t>The behavioural feature distributions are highly skewed — a handful of machine/service identities dominate volume by orders of magnitude.</w:t>
      </w:r>
    </w:p>
    <w:p>
      <w:pPr>
        <w:pStyle w:val="ListBullet"/>
      </w:pPr>
      <w:r>
        <w:rPr>
          <w:b/>
        </w:rPr>
        <w:t xml:space="preserve">No labels at scale. </w:t>
      </w:r>
      <w:r>
        <w:t>Real attacks are rare and largely unlabelled, mandating unsupervised and self-supervised learning rather than supervised classification.</w:t>
      </w:r>
    </w:p>
    <w:p>
      <w:pPr>
        <w:pStyle w:val="ListBullet"/>
      </w:pPr>
      <w:r>
        <w:rPr>
          <w:b/>
        </w:rPr>
        <w:t xml:space="preserve">False-positive economics. </w:t>
      </w:r>
      <w:r>
        <w:t>An analyst's time is the scarce resource; a model that flags everything is operationally worthless. Calibration and explainability are first-class requirements.</w:t>
      </w:r>
    </w:p>
    <w:p>
      <w:r>
        <w:rPr>
          <w:i w:val="0"/>
        </w:rPr>
        <w:t>These constraints motivate a multi-model ensemble (no single estimator is robust across all failure modes) and a strong emphasis on calibration, online adaptation, and explainability.</w:t>
      </w:r>
    </w:p>
    <w:p>
      <w:pPr>
        <w:pStyle w:val="Heading1"/>
      </w:pPr>
      <w:r>
        <w:rPr>
          <w:color w:val="9A5B00"/>
          <w:sz w:val="30"/>
        </w:rPr>
        <w:t>2. Data and Feature Engineering</w:t>
      </w:r>
    </w:p>
    <w:p>
      <w:pPr>
        <w:pStyle w:val="Heading2"/>
      </w:pPr>
      <w:r>
        <w:rPr>
          <w:color w:val="1F2937"/>
          <w:sz w:val="25"/>
        </w:rPr>
        <w:t>2.1  Input</w:t>
      </w:r>
    </w:p>
    <w:p>
      <w:r>
        <w:rPr>
          <w:i w:val="0"/>
        </w:rPr>
        <w:t>The models consume a per-entity, per-time-window feature vector derived from normalised security event logs (Windows authentication, network-connection, privilege-change, account-management, and Kerberos events). Each entity (user, host/IP, or device) is summarised over rolling windows of 1 h / 6 h / 24 h / 7 d.</w:t>
      </w:r>
    </w:p>
    <w:p>
      <w:pPr>
        <w:pStyle w:val="Heading2"/>
      </w:pPr>
      <w:r>
        <w:rPr>
          <w:color w:val="1F2937"/>
          <w:sz w:val="25"/>
        </w:rPr>
        <w:t>2.2  Feature set</w:t>
      </w:r>
    </w:p>
    <w:p>
      <w:r>
        <w:rPr>
          <w:i w:val="0"/>
        </w:rPr>
        <w:t>Approximately 130 behavioural features are extracted, grouped as:</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19"/>
              </w:rPr>
              <w:t>Group</w:t>
            </w:r>
          </w:p>
        </w:tc>
        <w:tc>
          <w:tcPr>
            <w:tcW w:type="dxa" w:w="6624"/>
          </w:tcPr>
          <w:p>
            <w:r/>
            <w:r>
              <w:rPr>
                <w:b/>
                <w:sz w:val="19"/>
              </w:rPr>
              <w:t>Examples</w:t>
            </w:r>
          </w:p>
        </w:tc>
      </w:tr>
      <w:tr>
        <w:tc>
          <w:tcPr>
            <w:tcW w:type="dxa" w:w="2448"/>
          </w:tcPr>
          <w:p>
            <w:r/>
            <w:r>
              <w:rPr>
                <w:sz w:val="19"/>
              </w:rPr>
              <w:t>Temporal</w:t>
            </w:r>
          </w:p>
        </w:tc>
        <w:tc>
          <w:tcPr>
            <w:tcW w:type="dxa" w:w="6624"/>
          </w:tcPr>
          <w:p>
            <w:r/>
            <w:r>
              <w:rPr>
                <w:sz w:val="19"/>
              </w:rPr>
              <w:t>login-hour mean/std, after-hours %, weekend %, session duration, time-regularity</w:t>
            </w:r>
          </w:p>
        </w:tc>
      </w:tr>
      <w:tr>
        <w:tc>
          <w:tcPr>
            <w:tcW w:type="dxa" w:w="2448"/>
          </w:tcPr>
          <w:p>
            <w:r/>
            <w:r>
              <w:rPr>
                <w:sz w:val="19"/>
              </w:rPr>
              <w:t>Frequency</w:t>
            </w:r>
          </w:p>
        </w:tc>
        <w:tc>
          <w:tcPr>
            <w:tcW w:type="dxa" w:w="6624"/>
          </w:tcPr>
          <w:p>
            <w:r/>
            <w:r>
              <w:rPr>
                <w:sz w:val="19"/>
              </w:rPr>
              <w:t>login / failed-login counts, events per hour, actions per session</w:t>
            </w:r>
          </w:p>
        </w:tc>
      </w:tr>
      <w:tr>
        <w:tc>
          <w:tcPr>
            <w:tcW w:type="dxa" w:w="2448"/>
          </w:tcPr>
          <w:p>
            <w:r/>
            <w:r>
              <w:rPr>
                <w:sz w:val="19"/>
              </w:rPr>
              <w:t>Volume</w:t>
            </w:r>
          </w:p>
        </w:tc>
        <w:tc>
          <w:tcPr>
            <w:tcW w:type="dxa" w:w="6624"/>
          </w:tcPr>
          <w:p>
            <w:r/>
            <w:r>
              <w:rPr>
                <w:sz w:val="19"/>
              </w:rPr>
              <w:t>bytes in/out, files accessed/created/deleted (where available)</w:t>
            </w:r>
          </w:p>
        </w:tc>
      </w:tr>
      <w:tr>
        <w:tc>
          <w:tcPr>
            <w:tcW w:type="dxa" w:w="2448"/>
          </w:tcPr>
          <w:p>
            <w:r/>
            <w:r>
              <w:rPr>
                <w:sz w:val="19"/>
              </w:rPr>
              <w:t>Network</w:t>
            </w:r>
          </w:p>
        </w:tc>
        <w:tc>
          <w:tcPr>
            <w:tcW w:type="dxa" w:w="6624"/>
          </w:tcPr>
          <w:p>
            <w:r/>
            <w:r>
              <w:rPr>
                <w:sz w:val="19"/>
              </w:rPr>
              <w:t>unique destination IPs/ports, internal vs external connection ratios</w:t>
            </w:r>
          </w:p>
        </w:tc>
      </w:tr>
      <w:tr>
        <w:tc>
          <w:tcPr>
            <w:tcW w:type="dxa" w:w="2448"/>
          </w:tcPr>
          <w:p>
            <w:r/>
            <w:r>
              <w:rPr>
                <w:sz w:val="19"/>
              </w:rPr>
              <w:t>Access / privilege</w:t>
            </w:r>
          </w:p>
        </w:tc>
        <w:tc>
          <w:tcPr>
            <w:tcW w:type="dxa" w:w="6624"/>
          </w:tcPr>
          <w:p>
            <w:r/>
            <w:r>
              <w:rPr>
                <w:sz w:val="19"/>
              </w:rPr>
              <w:t>privilege changes, admin actions, account-management events</w:t>
            </w:r>
          </w:p>
        </w:tc>
      </w:tr>
      <w:tr>
        <w:tc>
          <w:tcPr>
            <w:tcW w:type="dxa" w:w="2448"/>
          </w:tcPr>
          <w:p>
            <w:r/>
            <w:r>
              <w:rPr>
                <w:sz w:val="19"/>
              </w:rPr>
              <w:t>Behavioural / entropy</w:t>
            </w:r>
          </w:p>
        </w:tc>
        <w:tc>
          <w:tcPr>
            <w:tcW w:type="dxa" w:w="6624"/>
          </w:tcPr>
          <w:p>
            <w:r/>
            <w:r>
              <w:rPr>
                <w:sz w:val="19"/>
              </w:rPr>
              <w:t>action entropy, resource-access entropy, peer-deviation score</w:t>
            </w:r>
          </w:p>
        </w:tc>
      </w:tr>
    </w:tbl>
    <w:p>
      <w:pPr>
        <w:spacing w:after="40"/>
      </w:pPr>
    </w:p>
    <w:p>
      <w:pPr>
        <w:pStyle w:val="Heading2"/>
      </w:pPr>
      <w:r>
        <w:rPr>
          <w:color w:val="1F2937"/>
          <w:sz w:val="25"/>
        </w:rPr>
        <w:t>2.3  Preprocessing</w:t>
      </w:r>
    </w:p>
    <w:p>
      <w:r>
        <w:rPr>
          <w:i w:val="0"/>
        </w:rPr>
        <w:t>Features are assembled into a fixed-order numeric matrix and normalised with a StandardScaler (zero mean, unit variance) fitted on the training population; the fitted scaler is serialised with each model so inference applies the identical transform. A documented limitation of plain standardisation under heavy-tailed counts is analysed in Section 7.</w:t>
      </w:r>
    </w:p>
    <w:p>
      <w:pPr>
        <w:pStyle w:val="Heading1"/>
      </w:pPr>
      <w:r>
        <w:rPr>
          <w:color w:val="9A5B00"/>
          <w:sz w:val="30"/>
        </w:rPr>
        <w:t>3. The Detection Ensemble — Overview</w:t>
      </w:r>
    </w:p>
    <w:p>
      <w:r>
        <w:rPr>
          <w:i w:val="0"/>
        </w:rPr>
        <w:t>The ensemble combines ten components. Each emits an anomaly score in [0, 1]; a weighted sum produces a normalised 0–100 risk score per entity, which is then severity-classified.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tcPr>
          <w:p>
            <w:r/>
            <w:r>
              <w:rPr>
                <w:b/>
                <w:sz w:val="19"/>
              </w:rPr>
              <w:t>#</w:t>
            </w:r>
          </w:p>
        </w:tc>
        <w:tc>
          <w:tcPr>
            <w:tcW w:type="dxa" w:w="2736"/>
          </w:tcPr>
          <w:p>
            <w:r/>
            <w:r>
              <w:rPr>
                <w:b/>
                <w:sz w:val="19"/>
              </w:rPr>
              <w:t>Component</w:t>
            </w:r>
          </w:p>
        </w:tc>
        <w:tc>
          <w:tcPr>
            <w:tcW w:type="dxa" w:w="2736"/>
          </w:tcPr>
          <w:p>
            <w:r/>
            <w:r>
              <w:rPr>
                <w:b/>
                <w:sz w:val="19"/>
              </w:rPr>
              <w:t>Type</w:t>
            </w:r>
          </w:p>
        </w:tc>
        <w:tc>
          <w:tcPr>
            <w:tcW w:type="dxa" w:w="3312"/>
          </w:tcPr>
          <w:p>
            <w:r/>
            <w:r>
              <w:rPr>
                <w:b/>
                <w:sz w:val="19"/>
              </w:rPr>
              <w:t>Role</w:t>
            </w:r>
          </w:p>
        </w:tc>
      </w:tr>
      <w:tr>
        <w:tc>
          <w:tcPr>
            <w:tcW w:type="dxa" w:w="432"/>
          </w:tcPr>
          <w:p>
            <w:r/>
            <w:r>
              <w:rPr>
                <w:sz w:val="19"/>
              </w:rPr>
              <w:t>1</w:t>
            </w:r>
          </w:p>
        </w:tc>
        <w:tc>
          <w:tcPr>
            <w:tcW w:type="dxa" w:w="2736"/>
          </w:tcPr>
          <w:p>
            <w:r/>
            <w:r>
              <w:rPr>
                <w:sz w:val="19"/>
              </w:rPr>
              <w:t>Statistical baseline</w:t>
            </w:r>
          </w:p>
        </w:tc>
        <w:tc>
          <w:tcPr>
            <w:tcW w:type="dxa" w:w="2736"/>
          </w:tcPr>
          <w:p>
            <w:r/>
            <w:r>
              <w:rPr>
                <w:sz w:val="19"/>
              </w:rPr>
              <w:t>Z-score / IQR / percentile</w:t>
            </w:r>
          </w:p>
        </w:tc>
        <w:tc>
          <w:tcPr>
            <w:tcW w:type="dxa" w:w="3312"/>
          </w:tcPr>
          <w:p>
            <w:r/>
            <w:r>
              <w:rPr>
                <w:sz w:val="19"/>
              </w:rPr>
              <w:t>Per-feature deviation vs the entity's own baseline</w:t>
            </w:r>
          </w:p>
        </w:tc>
      </w:tr>
      <w:tr>
        <w:tc>
          <w:tcPr>
            <w:tcW w:type="dxa" w:w="432"/>
          </w:tcPr>
          <w:p>
            <w:r/>
            <w:r>
              <w:rPr>
                <w:sz w:val="19"/>
              </w:rPr>
              <w:t>2</w:t>
            </w:r>
          </w:p>
        </w:tc>
        <w:tc>
          <w:tcPr>
            <w:tcW w:type="dxa" w:w="2736"/>
          </w:tcPr>
          <w:p>
            <w:r/>
            <w:r>
              <w:rPr>
                <w:sz w:val="19"/>
              </w:rPr>
              <w:t>Isolation Forest</w:t>
            </w:r>
          </w:p>
        </w:tc>
        <w:tc>
          <w:tcPr>
            <w:tcW w:type="dxa" w:w="2736"/>
          </w:tcPr>
          <w:p>
            <w:r/>
            <w:r>
              <w:rPr>
                <w:sz w:val="19"/>
              </w:rPr>
              <w:t>Tree ensemble (unsupervised)</w:t>
            </w:r>
          </w:p>
        </w:tc>
        <w:tc>
          <w:tcPr>
            <w:tcW w:type="dxa" w:w="3312"/>
          </w:tcPr>
          <w:p>
            <w:r/>
            <w:r>
              <w:rPr>
                <w:sz w:val="19"/>
              </w:rPr>
              <w:t>Global outlier isolation</w:t>
            </w:r>
          </w:p>
        </w:tc>
      </w:tr>
      <w:tr>
        <w:tc>
          <w:tcPr>
            <w:tcW w:type="dxa" w:w="432"/>
          </w:tcPr>
          <w:p>
            <w:r/>
            <w:r>
              <w:rPr>
                <w:sz w:val="19"/>
              </w:rPr>
              <w:t>3</w:t>
            </w:r>
          </w:p>
        </w:tc>
        <w:tc>
          <w:tcPr>
            <w:tcW w:type="dxa" w:w="2736"/>
          </w:tcPr>
          <w:p>
            <w:r/>
            <w:r>
              <w:rPr>
                <w:sz w:val="19"/>
              </w:rPr>
              <w:t>Autoencoder</w:t>
            </w:r>
          </w:p>
        </w:tc>
        <w:tc>
          <w:tcPr>
            <w:tcW w:type="dxa" w:w="2736"/>
          </w:tcPr>
          <w:p>
            <w:r/>
            <w:r>
              <w:rPr>
                <w:sz w:val="19"/>
              </w:rPr>
              <w:t>Deep neural net (trained)</w:t>
            </w:r>
          </w:p>
        </w:tc>
        <w:tc>
          <w:tcPr>
            <w:tcW w:type="dxa" w:w="3312"/>
          </w:tcPr>
          <w:p>
            <w:r/>
            <w:r>
              <w:rPr>
                <w:sz w:val="19"/>
              </w:rPr>
              <w:t>Reconstruction-error novelty</w:t>
            </w:r>
          </w:p>
        </w:tc>
      </w:tr>
      <w:tr>
        <w:tc>
          <w:tcPr>
            <w:tcW w:type="dxa" w:w="432"/>
          </w:tcPr>
          <w:p>
            <w:r/>
            <w:r>
              <w:rPr>
                <w:sz w:val="19"/>
              </w:rPr>
              <w:t>4</w:t>
            </w:r>
          </w:p>
        </w:tc>
        <w:tc>
          <w:tcPr>
            <w:tcW w:type="dxa" w:w="2736"/>
          </w:tcPr>
          <w:p>
            <w:r/>
            <w:r>
              <w:rPr>
                <w:sz w:val="19"/>
              </w:rPr>
              <w:t>LSTM sequence model</w:t>
            </w:r>
          </w:p>
        </w:tc>
        <w:tc>
          <w:tcPr>
            <w:tcW w:type="dxa" w:w="2736"/>
          </w:tcPr>
          <w:p>
            <w:r/>
            <w:r>
              <w:rPr>
                <w:sz w:val="19"/>
              </w:rPr>
              <w:t>Recurrent neural net (trained)</w:t>
            </w:r>
          </w:p>
        </w:tc>
        <w:tc>
          <w:tcPr>
            <w:tcW w:type="dxa" w:w="3312"/>
          </w:tcPr>
          <w:p>
            <w:r/>
            <w:r>
              <w:rPr>
                <w:sz w:val="19"/>
              </w:rPr>
              <w:t>Temporal-sequence prediction error</w:t>
            </w:r>
          </w:p>
        </w:tc>
      </w:tr>
      <w:tr>
        <w:tc>
          <w:tcPr>
            <w:tcW w:type="dxa" w:w="432"/>
          </w:tcPr>
          <w:p>
            <w:r/>
            <w:r>
              <w:rPr>
                <w:sz w:val="19"/>
              </w:rPr>
              <w:t>5</w:t>
            </w:r>
          </w:p>
        </w:tc>
        <w:tc>
          <w:tcPr>
            <w:tcW w:type="dxa" w:w="2736"/>
          </w:tcPr>
          <w:p>
            <w:r/>
            <w:r>
              <w:rPr>
                <w:sz w:val="19"/>
              </w:rPr>
              <w:t>Local Outlier Factor</w:t>
            </w:r>
          </w:p>
        </w:tc>
        <w:tc>
          <w:tcPr>
            <w:tcW w:type="dxa" w:w="2736"/>
          </w:tcPr>
          <w:p>
            <w:r/>
            <w:r>
              <w:rPr>
                <w:sz w:val="19"/>
              </w:rPr>
              <w:t>Density-based</w:t>
            </w:r>
          </w:p>
        </w:tc>
        <w:tc>
          <w:tcPr>
            <w:tcW w:type="dxa" w:w="3312"/>
          </w:tcPr>
          <w:p>
            <w:r/>
            <w:r>
              <w:rPr>
                <w:sz w:val="19"/>
              </w:rPr>
              <w:t>Local / contextual outliers</w:t>
            </w:r>
          </w:p>
        </w:tc>
      </w:tr>
      <w:tr>
        <w:tc>
          <w:tcPr>
            <w:tcW w:type="dxa" w:w="432"/>
          </w:tcPr>
          <w:p>
            <w:r/>
            <w:r>
              <w:rPr>
                <w:sz w:val="19"/>
              </w:rPr>
              <w:t>6</w:t>
            </w:r>
          </w:p>
        </w:tc>
        <w:tc>
          <w:tcPr>
            <w:tcW w:type="dxa" w:w="2736"/>
          </w:tcPr>
          <w:p>
            <w:r/>
            <w:r>
              <w:rPr>
                <w:sz w:val="19"/>
              </w:rPr>
              <w:t>One-Class SVM</w:t>
            </w:r>
          </w:p>
        </w:tc>
        <w:tc>
          <w:tcPr>
            <w:tcW w:type="dxa" w:w="2736"/>
          </w:tcPr>
          <w:p>
            <w:r/>
            <w:r>
              <w:rPr>
                <w:sz w:val="19"/>
              </w:rPr>
              <w:t>Kernel boundary</w:t>
            </w:r>
          </w:p>
        </w:tc>
        <w:tc>
          <w:tcPr>
            <w:tcW w:type="dxa" w:w="3312"/>
          </w:tcPr>
          <w:p>
            <w:r/>
            <w:r>
              <w:rPr>
                <w:sz w:val="19"/>
              </w:rPr>
              <w:t>Boundary of normal behaviour</w:t>
            </w:r>
          </w:p>
        </w:tc>
      </w:tr>
      <w:tr>
        <w:tc>
          <w:tcPr>
            <w:tcW w:type="dxa" w:w="432"/>
          </w:tcPr>
          <w:p>
            <w:r/>
            <w:r>
              <w:rPr>
                <w:sz w:val="19"/>
              </w:rPr>
              <w:t>7</w:t>
            </w:r>
          </w:p>
        </w:tc>
        <w:tc>
          <w:tcPr>
            <w:tcW w:type="dxa" w:w="2736"/>
          </w:tcPr>
          <w:p>
            <w:r/>
            <w:r>
              <w:rPr>
                <w:sz w:val="19"/>
              </w:rPr>
              <w:t>Rule engine</w:t>
            </w:r>
          </w:p>
        </w:tc>
        <w:tc>
          <w:tcPr>
            <w:tcW w:type="dxa" w:w="2736"/>
          </w:tcPr>
          <w:p>
            <w:r/>
            <w:r>
              <w:rPr>
                <w:sz w:val="19"/>
              </w:rPr>
              <w:t>Deterministic (MITRE ATT&amp;CK)</w:t>
            </w:r>
          </w:p>
        </w:tc>
        <w:tc>
          <w:tcPr>
            <w:tcW w:type="dxa" w:w="3312"/>
          </w:tcPr>
          <w:p>
            <w:r/>
            <w:r>
              <w:rPr>
                <w:sz w:val="19"/>
              </w:rPr>
              <w:t>Known attacker techniques</w:t>
            </w:r>
          </w:p>
        </w:tc>
      </w:tr>
      <w:tr>
        <w:tc>
          <w:tcPr>
            <w:tcW w:type="dxa" w:w="432"/>
          </w:tcPr>
          <w:p>
            <w:r/>
            <w:r>
              <w:rPr>
                <w:sz w:val="19"/>
              </w:rPr>
              <w:t>8</w:t>
            </w:r>
          </w:p>
        </w:tc>
        <w:tc>
          <w:tcPr>
            <w:tcW w:type="dxa" w:w="2736"/>
          </w:tcPr>
          <w:p>
            <w:r/>
            <w:r>
              <w:rPr>
                <w:sz w:val="19"/>
              </w:rPr>
              <w:t>Cumulative-deviation tracker</w:t>
            </w:r>
          </w:p>
        </w:tc>
        <w:tc>
          <w:tcPr>
            <w:tcW w:type="dxa" w:w="2736"/>
          </w:tcPr>
          <w:p>
            <w:r/>
            <w:r>
              <w:rPr>
                <w:sz w:val="19"/>
              </w:rPr>
              <w:t>One-sample t-statistic</w:t>
            </w:r>
          </w:p>
        </w:tc>
        <w:tc>
          <w:tcPr>
            <w:tcW w:type="dxa" w:w="3312"/>
          </w:tcPr>
          <w:p>
            <w:r/>
            <w:r>
              <w:rPr>
                <w:sz w:val="19"/>
              </w:rPr>
              <w:t>Low-and-slow / gradual drift</w:t>
            </w:r>
          </w:p>
        </w:tc>
      </w:tr>
      <w:tr>
        <w:tc>
          <w:tcPr>
            <w:tcW w:type="dxa" w:w="432"/>
          </w:tcPr>
          <w:p>
            <w:r/>
            <w:r>
              <w:rPr>
                <w:sz w:val="19"/>
              </w:rPr>
              <w:t>9</w:t>
            </w:r>
          </w:p>
        </w:tc>
        <w:tc>
          <w:tcPr>
            <w:tcW w:type="dxa" w:w="2736"/>
          </w:tcPr>
          <w:p>
            <w:r/>
            <w:r>
              <w:rPr>
                <w:sz w:val="19"/>
              </w:rPr>
              <w:t>Behavioural fingerprint</w:t>
            </w:r>
          </w:p>
        </w:tc>
        <w:tc>
          <w:tcPr>
            <w:tcW w:type="dxa" w:w="2736"/>
          </w:tcPr>
          <w:p>
            <w:r/>
            <w:r>
              <w:rPr>
                <w:sz w:val="19"/>
              </w:rPr>
              <w:t>Cosine vs EWMA centroid</w:t>
            </w:r>
          </w:p>
        </w:tc>
        <w:tc>
          <w:tcPr>
            <w:tcW w:type="dxa" w:w="3312"/>
          </w:tcPr>
          <w:p>
            <w:r/>
            <w:r>
              <w:rPr>
                <w:sz w:val="19"/>
              </w:rPr>
              <w:t>Session-level deviation</w:t>
            </w:r>
          </w:p>
        </w:tc>
      </w:tr>
      <w:tr>
        <w:tc>
          <w:tcPr>
            <w:tcW w:type="dxa" w:w="432"/>
          </w:tcPr>
          <w:p>
            <w:r/>
            <w:r>
              <w:rPr>
                <w:sz w:val="19"/>
              </w:rPr>
              <w:t>10</w:t>
            </w:r>
          </w:p>
        </w:tc>
        <w:tc>
          <w:tcPr>
            <w:tcW w:type="dxa" w:w="2736"/>
          </w:tcPr>
          <w:p>
            <w:r/>
            <w:r>
              <w:rPr>
                <w:sz w:val="19"/>
              </w:rPr>
              <w:t>Authentication graph</w:t>
            </w:r>
          </w:p>
        </w:tc>
        <w:tc>
          <w:tcPr>
            <w:tcW w:type="dxa" w:w="2736"/>
          </w:tcPr>
          <w:p>
            <w:r/>
            <w:r>
              <w:rPr>
                <w:sz w:val="19"/>
              </w:rPr>
              <w:t>Graph fan-out</w:t>
            </w:r>
          </w:p>
        </w:tc>
        <w:tc>
          <w:tcPr>
            <w:tcW w:type="dxa" w:w="3312"/>
          </w:tcPr>
          <w:p>
            <w:r/>
            <w:r>
              <w:rPr>
                <w:sz w:val="19"/>
              </w:rPr>
              <w:t>Lateral movement</w:t>
            </w:r>
          </w:p>
        </w:tc>
      </w:tr>
    </w:tbl>
    <w:p>
      <w:pPr>
        <w:spacing w:after="40"/>
      </w:pPr>
    </w:p>
    <w:p>
      <w:r>
        <w:rPr>
          <w:i w:val="0"/>
        </w:rPr>
        <w:t>Components 3 and 4 — the focus of this paper's deep-learning contribution — are described in Section 4. The applied-LLM explainability layer (Section 6) sits downstream of scoring and does not contribute to the numeric risk score.</w:t>
      </w:r>
    </w:p>
    <w:p>
      <w:pPr>
        <w:pStyle w:val="Heading1"/>
      </w:pPr>
      <w:r>
        <w:rPr>
          <w:color w:val="9A5B00"/>
          <w:sz w:val="30"/>
        </w:rPr>
        <w:t>4. Deep-Learning Models (Designed and Trained In-House)</w:t>
      </w:r>
    </w:p>
    <w:p>
      <w:r>
        <w:rPr>
          <w:i w:val="0"/>
        </w:rPr>
        <w:t>Both deep models are implemented in PyTorch, trained on an NVIDIA RTX-class GPU, and serialised for inference. They are trained in a self-supervised manner on normal behaviour, so that elevated error at inference signals anomaly — no attack labels are required.</w:t>
      </w:r>
    </w:p>
    <w:p>
      <w:pPr>
        <w:pStyle w:val="Heading2"/>
      </w:pPr>
      <w:r>
        <w:rPr>
          <w:color w:val="1F2937"/>
          <w:sz w:val="25"/>
        </w:rPr>
        <w:t>4.1  Autoencoder — representation-learning novelty detector</w:t>
      </w:r>
    </w:p>
    <w:p>
      <w:r>
        <w:rPr>
          <w:b/>
        </w:rPr>
        <w:t xml:space="preserve">Intuition.  </w:t>
      </w:r>
      <w:r>
        <w:rPr>
          <w:i w:val="0"/>
        </w:rPr>
        <w:t>An autoencoder learns to compress and reconstruct normal feature vectors through a narrow latent bottleneck. Vectors unlike the training distribution reconstruct poorly; the reconstruction error is the anomaly signal.</w:t>
      </w:r>
    </w:p>
    <w:p>
      <w:r>
        <w:rPr>
          <w:i w:val="0"/>
        </w:rPr>
        <w:t>Architecture (symmetric encoder–decoder):</w:t>
      </w:r>
    </w:p>
    <w:p>
      <w:pPr>
        <w:spacing w:before="80" w:after="160"/>
        <w:ind w:left="288"/>
        <w:shd w:val="clear" w:fill="F2F3F5"/>
      </w:pPr>
      <w:r>
        <w:rPr>
          <w:rFonts w:ascii="Consolas" w:hAnsi="Consolas"/>
          <w:sz w:val="19"/>
        </w:rPr>
        <w:t>Input(d) → 64 → 32 → 16 → Latent(8) → 16 → 32 → 64 → Output(d)</w:t>
      </w:r>
    </w:p>
    <w:p>
      <w:pPr>
        <w:pStyle w:val="ListBullet"/>
      </w:pPr>
      <w:r>
        <w:t>Hidden layers: ReLU activation, BatchNorm, Dropout(0.2) for regularisation.</w:t>
      </w:r>
    </w:p>
    <w:p>
      <w:pPr>
        <w:pStyle w:val="ListBullet"/>
      </w:pPr>
      <w:r>
        <w:t>Loss: Mean Squared Error between input and reconstruction.</w:t>
      </w:r>
    </w:p>
    <w:p>
      <w:pPr>
        <w:pStyle w:val="ListBullet"/>
      </w:pPr>
      <w:r>
        <w:t>Optimiser: Adam, learning rate 1e-3, batch size 256, 100–200 epochs.</w:t>
      </w:r>
    </w:p>
    <w:p>
      <w:pPr>
        <w:pStyle w:val="ListBullet"/>
      </w:pPr>
      <w:r>
        <w:t>Anomaly threshold: the 95th percentile of reconstruction error on a held-out validation set; per-sample error is mapped to a [0,1] anomaly score.</w:t>
      </w:r>
    </w:p>
    <w:p>
      <w:r>
        <w:rPr>
          <w:b/>
        </w:rPr>
        <w:t xml:space="preserve">Why it matters.  </w:t>
      </w:r>
      <w:r>
        <w:rPr>
          <w:i w:val="0"/>
        </w:rPr>
        <w:t>The bottleneck forces the network to learn a compact manifold of normal behaviour — a learned, non-linear representation that linear/statistical methods cannot capture.</w:t>
      </w:r>
    </w:p>
    <w:p>
      <w:pPr>
        <w:pStyle w:val="Heading2"/>
      </w:pPr>
      <w:r>
        <w:rPr>
          <w:color w:val="1F2937"/>
          <w:sz w:val="25"/>
        </w:rPr>
        <w:t>4.2  LSTM sequence analyser — temporal-prediction novelty detector</w:t>
      </w:r>
    </w:p>
    <w:p>
      <w:r>
        <w:rPr>
          <w:b/>
        </w:rPr>
        <w:t xml:space="preserve">Intuition.  </w:t>
      </w:r>
      <w:r>
        <w:rPr>
          <w:i w:val="0"/>
        </w:rPr>
        <w:t>Behaviour is a sequence, not a snapshot. An LSTM is trained to predict the next feature vector in an entity's behavioural sequence; a large prediction error indicates the entity is behaving unlike its own recent history.</w:t>
      </w:r>
    </w:p>
    <w:p>
      <w:r>
        <w:rPr>
          <w:i w:val="0"/>
        </w:rPr>
        <w:t>Architecture:</w:t>
      </w:r>
    </w:p>
    <w:p>
      <w:pPr>
        <w:spacing w:before="80" w:after="160"/>
        <w:ind w:left="288"/>
        <w:shd w:val="clear" w:fill="F2F3F5"/>
      </w:pPr>
      <w:r>
        <w:rPr>
          <w:rFonts w:ascii="Consolas" w:hAnsi="Consolas"/>
          <w:sz w:val="19"/>
        </w:rPr>
        <w:t>Input(d) → LSTM(hidden=64, layers=2, dropout=0.2) → FC(32) → Output(d)</w:t>
      </w:r>
    </w:p>
    <w:p>
      <w:pPr>
        <w:pStyle w:val="ListBullet"/>
      </w:pPr>
      <w:r>
        <w:t>Input: a sequence of per-window feature vectors per entity (sequence length configurable; designed to scale as behavioural history accumulates).</w:t>
      </w:r>
    </w:p>
    <w:p>
      <w:pPr>
        <w:pStyle w:val="ListBullet"/>
      </w:pPr>
      <w:r>
        <w:t>Loss: MSE on predicted-vs-actual next vector; prediction error → [0,1] anomaly score.</w:t>
      </w:r>
    </w:p>
    <w:p>
      <w:pPr>
        <w:pStyle w:val="ListBullet"/>
      </w:pPr>
      <w:r>
        <w:t>Optimiser: Adam; periodic re-training as new behavioural history accrues.</w:t>
      </w:r>
    </w:p>
    <w:p>
      <w:r>
        <w:rPr>
          <w:b/>
        </w:rPr>
        <w:t xml:space="preserve">Note on model family.  </w:t>
      </w:r>
      <w:r>
        <w:rPr>
          <w:i w:val="0"/>
        </w:rPr>
        <w:t>The LSTM is a recurrent sequence model — a predecessor of the transformer for sequence learning. It is not a transformer and not a language model; it is included here as evidence of hands-on deep sequence-model design and training. Migrating this component to a transformer/attention architecture is identified as future work (Section 9).</w:t>
      </w:r>
    </w:p>
    <w:p>
      <w:pPr>
        <w:pStyle w:val="Heading1"/>
      </w:pPr>
      <w:r>
        <w:rPr>
          <w:color w:val="9A5B00"/>
          <w:sz w:val="30"/>
        </w:rPr>
        <w:t>5. Classical, Statistical, and Rule-Based Components</w:t>
      </w:r>
    </w:p>
    <w:p>
      <w:r>
        <w:rPr>
          <w:i w:val="0"/>
        </w:rPr>
        <w:t>To complement the deep models and guard against their individual failure modes, the ensemble includes well-understood unsupervised learners (scikit-learn):</w:t>
      </w:r>
    </w:p>
    <w:p>
      <w:pPr>
        <w:pStyle w:val="ListBullet"/>
      </w:pPr>
      <w:r>
        <w:rPr>
          <w:b/>
        </w:rPr>
        <w:t xml:space="preserve">Isolation Forest — </w:t>
      </w:r>
      <w:r>
        <w:t>n_estimators=200, contamination=0.05, max_samples=0.8. Robust tree-based global outlier detection; in practice the most discriminative learner on this data (see Section 7).</w:t>
      </w:r>
    </w:p>
    <w:p>
      <w:pPr>
        <w:pStyle w:val="ListBullet"/>
      </w:pPr>
      <w:r>
        <w:rPr>
          <w:b/>
        </w:rPr>
        <w:t xml:space="preserve">Local Outlier Factor — </w:t>
      </w:r>
      <w:r>
        <w:t>n_neighbors=20; density-based local outliers.</w:t>
      </w:r>
    </w:p>
    <w:p>
      <w:pPr>
        <w:pStyle w:val="ListBullet"/>
      </w:pPr>
      <w:r>
        <w:rPr>
          <w:b/>
        </w:rPr>
        <w:t xml:space="preserve">One-Class SVM — </w:t>
      </w:r>
      <w:r>
        <w:t>RBF kernel, nu=0.05; learns a boundary around normal behaviour.</w:t>
      </w:r>
    </w:p>
    <w:p>
      <w:pPr>
        <w:pStyle w:val="ListBullet"/>
      </w:pPr>
      <w:r>
        <w:rPr>
          <w:b/>
        </w:rPr>
        <w:t xml:space="preserve">Statistical detector — </w:t>
      </w:r>
      <w:r>
        <w:t>per-feature one-tailed Z-score / IQR / percentile comparison against the entity's own baseline (one-tailed for volume features so that inactivity is never flagged as anomalous).</w:t>
      </w:r>
    </w:p>
    <w:p>
      <w:pPr>
        <w:pStyle w:val="ListBullet"/>
      </w:pPr>
      <w:r>
        <w:rPr>
          <w:b/>
        </w:rPr>
        <w:t xml:space="preserve">Deterministic rule engine — </w:t>
      </w:r>
      <w:r>
        <w:t>a library of MITRE ATT&amp;CK-mapped detections (brute force, password spray, Kerberoasting, lateral movement, privilege escalation, defence evasion). These fire from day one, before any baseline exists, providing a deterministic floor under the learned models.</w:t>
      </w:r>
    </w:p>
    <w:p>
      <w:pPr>
        <w:pStyle w:val="Heading1"/>
      </w:pPr>
      <w:r>
        <w:rPr>
          <w:color w:val="9A5B00"/>
          <w:sz w:val="30"/>
        </w:rPr>
        <w:t>6. Applied Transformer-Based Language Models</w:t>
      </w:r>
    </w:p>
    <w:p>
      <w:pPr>
        <w:shd w:val="clear" w:fill="FBF3E6"/>
      </w:pPr>
      <w:r>
        <w:rPr>
          <w:b/>
          <w:sz w:val="20"/>
        </w:rPr>
        <w:t xml:space="preserve">Scope statement (deliberate honesty).  </w:t>
      </w:r>
      <w:r>
        <w:rPr>
          <w:sz w:val="20"/>
        </w:rPr>
        <w:t>The system applies pre-trained, open-weight transformer LLMs via inference; it does not train or fine-tune them. The engineering contribution in this layer is the prompt architecture, structured-output enforcement, and the retrieval/query-generation pipeline — not model weights. On-premise fine-tuning of a small open-weight transformer is identified as future work (Section 9).</w:t>
      </w:r>
    </w:p>
    <w:p>
      <w:r>
        <w:rPr>
          <w:i w:val="0"/>
        </w:rPr>
        <w:t>Two analyst-facing capabilities are built on a transformer LLM (an instruction-tuned ~8-billion-parameter open-weight model served via inference API):</w:t>
      </w:r>
    </w:p>
    <w:p>
      <w:pPr>
        <w:pStyle w:val="ListBullet"/>
      </w:pPr>
      <w:r>
        <w:rPr>
          <w:b/>
        </w:rPr>
        <w:t xml:space="preserve">Explainable-AI analyst verdict.  </w:t>
      </w:r>
      <w:r>
        <w:t>Given an entity's ensemble scores, baseline deviations, and alert history, the LLM produces a structured, plain-language incident report (verdict, confidence, behavioural narrative, model-by-model findings, recommended actions). Output is constrained to a strict JSON schema at temperature=0 for determinism, with schema validation on the response.</w:t>
      </w:r>
    </w:p>
    <w:p>
      <w:pPr>
        <w:pStyle w:val="ListBullet"/>
      </w:pPr>
      <w:r>
        <w:rPr>
          <w:b/>
        </w:rPr>
        <w:t xml:space="preserve">Natural-language investigation.  </w:t>
      </w:r>
      <w:r>
        <w:t>An analyst's plain-English question is translated by the LLM into a valid Elasticsearch query, executed, and returned — a form of semantic parsing / text-to-query over a fixed log schema, with the generated query surfaced for transparency.</w:t>
      </w:r>
    </w:p>
    <w:p>
      <w:r>
        <w:rPr>
          <w:i w:val="0"/>
        </w:rPr>
        <w:t>The integration includes production concerns: shared rate-limit handling, deterministic decoding, short-circuit logic to avoid unnecessary inference on trivial cases, and corporate-proxy/TLS handling. This demonstrates working knowledge of applying transformer LLMs — prompt design, structured generation, and retrieval-style pipelines — within a production system.</w:t>
      </w:r>
    </w:p>
    <w:p>
      <w:pPr>
        <w:pStyle w:val="Heading1"/>
      </w:pPr>
      <w:r>
        <w:rPr>
          <w:color w:val="9A5B00"/>
          <w:sz w:val="30"/>
        </w:rPr>
        <w:t>7. Ensemble Fusion, Calibration, and Model-Failure Analysis</w:t>
      </w:r>
    </w:p>
    <w:p>
      <w:pPr>
        <w:pStyle w:val="Heading2"/>
      </w:pPr>
      <w:r>
        <w:rPr>
          <w:color w:val="1F2937"/>
          <w:sz w:val="25"/>
        </w:rPr>
        <w:t>7.1  Weighted fusion</w:t>
      </w:r>
    </w:p>
    <w:p>
      <w:r>
        <w:rPr>
          <w:i w:val="0"/>
        </w:rPr>
        <w:t>Component scores are combined as a configurable weighted sum and normalised to 0–100. Untrained or excluded components are removed from both numerator and denominator and the remaining weights renormalised, so the score is always well-defined.</w:t>
      </w:r>
    </w:p>
    <w:p>
      <w:pPr>
        <w:pStyle w:val="Heading2"/>
      </w:pPr>
      <w:r>
        <w:rPr>
          <w:color w:val="1F2937"/>
          <w:sz w:val="25"/>
        </w:rPr>
        <w:t>7.2  An honest account of a real failure mode</w:t>
      </w:r>
    </w:p>
    <w:p>
      <w:r>
        <w:rPr>
          <w:i w:val="0"/>
        </w:rPr>
        <w:t>A core engineering finding — and an illustration of ML maturity — concerns score saturation. The behavioural population is extremely heavy-tailed: a small number of machine/service identities generate event volumes several orders of magnitude larger than human users. Under plain standardisation, the scaler's statistics are dominated by these outliers, pushing ordinary users into the tail of the normalised space. Empirically, the density/boundary/reconstruction learners (LOF, One-Class SVM, Autoencoder) then saturate — assigning near-maximal anomaly scores even to low-activity, benign entities — and lose discriminative power. The Isolation Forest, being rank/partition-based rather than distance-based, remained well-behaved and discriminative across the activity range.</w:t>
      </w:r>
    </w:p>
    <w:p>
      <w:r>
        <w:rPr>
          <w:i w:val="0"/>
        </w:rPr>
        <w:t>This was diagnosed by directly scoring the full real population across the activity spectrum and observing the per-model score curves. The mitigation was evidence-based weight calibration: the saturating models were down-weighted (and the discriminative Isolation Forest up-weighted) on the basis of measured behaviour, not guesswork — preserving detection while suppressing false positives. The principled fix (a log1p transform of heavy-tailed volume features prior to scaling, then re-training so the affected models discriminate rather than saturate) is specified as future work.</w:t>
      </w:r>
    </w:p>
    <w:p>
      <w:pPr>
        <w:pStyle w:val="Heading2"/>
      </w:pPr>
      <w:r>
        <w:rPr>
          <w:color w:val="1F2937"/>
          <w:sz w:val="25"/>
        </w:rPr>
        <w:t>7.3  False-positive-safety controls</w:t>
      </w:r>
    </w:p>
    <w:p>
      <w:pPr>
        <w:pStyle w:val="ListBullet"/>
      </w:pPr>
      <w:r>
        <w:t>A learning-period warm-up: brand-new entities are watch-listed, not alerted, until their baseline matures — while deterministic rules still fire from day one.</w:t>
      </w:r>
    </w:p>
    <w:p>
      <w:pPr>
        <w:pStyle w:val="ListBullet"/>
      </w:pPr>
      <w:r>
        <w:t>Account-diversity gating on credential-attack detectors (e.g. password spray requires many distinct target accounts, not a single account's retry burst), eliminating a class of benign false positives.</w:t>
      </w:r>
    </w:p>
    <w:p>
      <w:pPr>
        <w:pStyle w:val="Heading1"/>
      </w:pPr>
      <w:r>
        <w:rPr>
          <w:color w:val="9A5B00"/>
          <w:sz w:val="30"/>
        </w:rPr>
        <w:t>8. Online / Streaming Statistics</w:t>
      </w:r>
    </w:p>
    <w:p>
      <w:r>
        <w:rPr>
          <w:i w:val="0"/>
        </w:rPr>
        <w:t>To keep baselines current at scale without full recomputation, per-feature statistics are maintained incrementally:</w:t>
      </w:r>
    </w:p>
    <w:p>
      <w:pPr>
        <w:pStyle w:val="ListBullet"/>
      </w:pPr>
      <w:r>
        <w:rPr>
          <w:b/>
        </w:rPr>
        <w:t xml:space="preserve">Welford's algorithm for </w:t>
      </w:r>
      <w:r>
        <w:t>running mean / variance — numerically stable, O(1) per sample, bit-identical to batch computation.</w:t>
      </w:r>
    </w:p>
    <w:p>
      <w:pPr>
        <w:pStyle w:val="ListBullet"/>
      </w:pPr>
      <w:r>
        <w:rPr>
          <w:b/>
        </w:rPr>
        <w:t xml:space="preserve">t-digest sketches for </w:t>
      </w:r>
      <w:r>
        <w:t>streaming approximate percentiles (P25–P99) within ~1.5% of exact.</w:t>
      </w:r>
    </w:p>
    <w:p>
      <w:pPr>
        <w:pStyle w:val="ListBullet"/>
      </w:pPr>
      <w:r>
        <w:rPr>
          <w:b/>
        </w:rPr>
        <w:t xml:space="preserve">HyperLogLog sketches for </w:t>
      </w:r>
      <w:r>
        <w:t>streaming cardinality (unique_* features) within ~1.5% error at a few kilobytes per sketch.</w:t>
      </w:r>
    </w:p>
    <w:p>
      <w:r>
        <w:rPr>
          <w:i w:val="0"/>
        </w:rPr>
        <w:t>This gives the statistical and baseline components an online-learning character: the model of “normal” updates continuously as new behaviour arrives, with a smooth exponential decay so that stale behaviour ages out.</w:t>
      </w:r>
    </w:p>
    <w:p>
      <w:pPr>
        <w:pStyle w:val="Heading1"/>
      </w:pPr>
      <w:r>
        <w:rPr>
          <w:color w:val="9A5B00"/>
          <w:sz w:val="30"/>
        </w:rPr>
        <w:t>9. Limitations and Future Work</w:t>
      </w:r>
    </w:p>
    <w:p>
      <w:r>
        <w:rPr>
          <w:i w:val="0"/>
        </w:rPr>
        <w:t>We state limitations plainly:</w:t>
      </w:r>
    </w:p>
    <w:p>
      <w:pPr>
        <w:pStyle w:val="ListBullet"/>
      </w:pPr>
      <w:r>
        <w:rPr>
          <w:b/>
        </w:rPr>
        <w:t xml:space="preserve">No transformer training/fine-tuning yet.  </w:t>
      </w:r>
      <w:r>
        <w:t>The transformer LLM is used via inference only. The clear next step — and the most direct extension of this work — is to fine-tune a small open-weight transformer on domain data: e.g. security-event classification, log-sequence anomaly modelling, or incident-narrative generation, trained on-premise. This would remove the external-inference dependency and constitute genuine transformer design/training/fine-tuning experience.</w:t>
      </w:r>
    </w:p>
    <w:p>
      <w:pPr>
        <w:pStyle w:val="ListBullet"/>
      </w:pPr>
      <w:r>
        <w:rPr>
          <w:b/>
        </w:rPr>
        <w:t xml:space="preserve">Sequence model is recurrent, not attention-based.  </w:t>
      </w:r>
      <w:r>
        <w:t>Migrating the LSTM component to a transformer/self-attention architecture for behavioural sequences is a natural upgrade.</w:t>
      </w:r>
    </w:p>
    <w:p>
      <w:pPr>
        <w:pStyle w:val="ListBullet"/>
      </w:pPr>
      <w:r>
        <w:rPr>
          <w:b/>
        </w:rPr>
        <w:t xml:space="preserve">Heavy-tailed calibration.  </w:t>
      </w:r>
      <w:r>
        <w:t>Implement the log1p volume transform + re-train so the density/boundary/reconstruction models discriminate rather than saturate, then restore their ensemble weight.</w:t>
      </w:r>
    </w:p>
    <w:p>
      <w:pPr>
        <w:pStyle w:val="ListBullet"/>
      </w:pPr>
      <w:r>
        <w:rPr>
          <w:b/>
        </w:rPr>
        <w:t xml:space="preserve">Online deep learning.  </w:t>
      </w:r>
      <w:r>
        <w:t>Move from periodic batch re-training toward continuous/online updates for the unsupervised learners.</w:t>
      </w:r>
    </w:p>
    <w:p>
      <w:pPr>
        <w:pStyle w:val="Heading1"/>
      </w:pPr>
      <w:r>
        <w:rPr>
          <w:color w:val="9A5B00"/>
          <w:sz w:val="30"/>
        </w:rPr>
        <w:t>10. Conclusion</w:t>
      </w:r>
    </w:p>
    <w:p>
      <w:r>
        <w:rPr>
          <w:i w:val="0"/>
        </w:rPr>
        <w:t>The system demonstrates end-to-end applied machine learning for cyber-defence: in-house design and training of deep neural networks (a representation-learning Autoencoder and a sequence-modelling LSTM in PyTorch on GPU), their integration with classical unsupervised and statistical learners into a calibrated, false-positive-aware ensemble, online/streaming statistical learning for scale, and the applied integration of transformer-based LLMs for explainability and natural-language investigation. Equally, it demonstrates the engineering judgement that real ML work demands — diagnosing model-failure modes empirically and calibrating on evidence rather than assumption. The roadmap toward on-premise transformer fine-tuning is concrete and builds directly on this foundation.</w:t>
      </w:r>
    </w:p>
    <w:p>
      <w:pPr>
        <w:pStyle w:val="Heading1"/>
      </w:pPr>
      <w:r>
        <w:rPr>
          <w:color w:val="9A5B00"/>
          <w:sz w:val="30"/>
        </w:rPr>
        <w:t>References (illustrative)</w:t>
      </w:r>
    </w:p>
    <w:p>
      <w:pPr>
        <w:spacing w:after="40"/>
      </w:pPr>
      <w:r>
        <w:rPr>
          <w:b/>
          <w:sz w:val="18"/>
        </w:rPr>
        <w:t xml:space="preserve">[1]  </w:t>
      </w:r>
      <w:r>
        <w:rPr>
          <w:color w:val="555F6B"/>
          <w:sz w:val="18"/>
        </w:rPr>
        <w:t>B. P. Welford, Note on a Method for Calculating Corrected Sums of Squares and Products, Technometrics, 1962.</w:t>
      </w:r>
    </w:p>
    <w:p>
      <w:pPr>
        <w:spacing w:after="40"/>
      </w:pPr>
      <w:r>
        <w:rPr>
          <w:b/>
          <w:sz w:val="18"/>
        </w:rPr>
        <w:t xml:space="preserve">[2]  </w:t>
      </w:r>
      <w:r>
        <w:rPr>
          <w:color w:val="555F6B"/>
          <w:sz w:val="18"/>
        </w:rPr>
        <w:t>F. T. Liu, K. M. Ting, Z.-H. Zhou, Isolation Forest, ICDM, 2008.</w:t>
      </w:r>
    </w:p>
    <w:p>
      <w:pPr>
        <w:spacing w:after="40"/>
      </w:pPr>
      <w:r>
        <w:rPr>
          <w:b/>
          <w:sz w:val="18"/>
        </w:rPr>
        <w:t xml:space="preserve">[3]  </w:t>
      </w:r>
      <w:r>
        <w:rPr>
          <w:color w:val="555F6B"/>
          <w:sz w:val="18"/>
        </w:rPr>
        <w:t>M. M. Breunig et al., LOF: Identifying Density-Based Local Outliers, SIGMOD, 2000.</w:t>
      </w:r>
    </w:p>
    <w:p>
      <w:pPr>
        <w:spacing w:after="40"/>
      </w:pPr>
      <w:r>
        <w:rPr>
          <w:b/>
          <w:sz w:val="18"/>
        </w:rPr>
        <w:t xml:space="preserve">[4]  </w:t>
      </w:r>
      <w:r>
        <w:rPr>
          <w:color w:val="555F6B"/>
          <w:sz w:val="18"/>
        </w:rPr>
        <w:t>B. Schölkopf et al., Estimating the Support of a High-Dimensional Distribution (One-Class SVM), Neural Computation, 2001.</w:t>
      </w:r>
    </w:p>
    <w:p>
      <w:pPr>
        <w:spacing w:after="40"/>
      </w:pPr>
      <w:r>
        <w:rPr>
          <w:b/>
          <w:sz w:val="18"/>
        </w:rPr>
        <w:t xml:space="preserve">[5]  </w:t>
      </w:r>
      <w:r>
        <w:rPr>
          <w:color w:val="555F6B"/>
          <w:sz w:val="18"/>
        </w:rPr>
        <w:t>S. Hochreiter, J. Schmidhuber, Long Short-Term Memory, Neural Computation, 1997.</w:t>
      </w:r>
    </w:p>
    <w:p>
      <w:pPr>
        <w:spacing w:after="40"/>
      </w:pPr>
      <w:r>
        <w:rPr>
          <w:b/>
          <w:sz w:val="18"/>
        </w:rPr>
        <w:t xml:space="preserve">[6]  </w:t>
      </w:r>
      <w:r>
        <w:rPr>
          <w:color w:val="555F6B"/>
          <w:sz w:val="18"/>
        </w:rPr>
        <w:t>A. Vaswani et al., Attention Is All You Need, NeurIPS, 2017.</w:t>
      </w:r>
    </w:p>
    <w:p>
      <w:pPr>
        <w:spacing w:after="40"/>
      </w:pPr>
      <w:r>
        <w:rPr>
          <w:b/>
          <w:sz w:val="18"/>
        </w:rPr>
        <w:t xml:space="preserve">[7]  </w:t>
      </w:r>
      <w:r>
        <w:rPr>
          <w:color w:val="555F6B"/>
          <w:sz w:val="18"/>
        </w:rPr>
        <w:t>T. Dunning, O. Ertl, Computing Extremely Accurate Quantiles Using t-digests, 2019.</w:t>
      </w:r>
    </w:p>
    <w:p>
      <w:pPr>
        <w:spacing w:after="40"/>
      </w:pPr>
      <w:r>
        <w:rPr>
          <w:b/>
          <w:sz w:val="18"/>
        </w:rPr>
        <w:t xml:space="preserve">[8]  </w:t>
      </w:r>
      <w:r>
        <w:rPr>
          <w:color w:val="555F6B"/>
          <w:sz w:val="18"/>
        </w:rPr>
        <w:t>P. Flajolet et al., HyperLogLog, 2007.</w:t>
      </w:r>
    </w:p>
    <w:p>
      <w:pPr>
        <w:spacing w:after="40"/>
      </w:pPr>
      <w:r>
        <w:rPr>
          <w:b/>
          <w:sz w:val="18"/>
        </w:rPr>
        <w:t xml:space="preserve">[9]  </w:t>
      </w:r>
      <w:r>
        <w:rPr>
          <w:color w:val="555F6B"/>
          <w:sz w:val="18"/>
        </w:rPr>
        <w:t>MITRE ATT&amp;CK Framework — https://attack.mitre.org</w:t>
      </w:r>
    </w:p>
    <w:p/>
    <w:p>
      <w:r>
        <w:rPr>
          <w:i/>
          <w:color w:val="555F6B"/>
          <w:sz w:val="17"/>
        </w:rPr>
        <w:t>This document describes the machine-learning subsystem of the platform only. Claims about model training distinguish explicitly between models designed and trained in-house (Autoencoder, LSTM) and pre-trained transformer LLMs applied via inference. Quantitative thresholds reflect the operational configuration; formal benchmark figures should be cited from controlled evaluations before external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