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AURELIUS</w:t>
      </w:r>
    </w:p>
    <w:p>
      <w:pPr>
        <w:pStyle w:val="Subtitle"/>
      </w:pPr>
      <w:r>
        <w:t>Техническая документация подсистемы кредитного скоринга</w:t>
      </w:r>
    </w:p>
    <w:p>
      <w:r>
        <w:t>Архитектура этапов 4–6, PostgreSQL, подготовка признаков, сравнение моделей и формирование кредитного предложения</w:t>
      </w:r>
    </w:p>
    <w:p>
      <w:r>
        <w:t>Версия 3   •   24 октября 2026 года</w:t>
      </w:r>
    </w:p>
    <w:p>
      <w:r>
        <w:t>Документ описывает реализованную подсистему AURELIUS от получения заявки по application_id до передачи сотруднику банка рассчитанных условий. В ML Scoring используется CatBoost Discrete-Time Survival с монотонными ограничениями. Decision Engine сопоставляет годовую PD с экономическим лимитом, а Credit Offer подбирает сумму и черновую ставку в заданных границах.</w:t>
      </w:r>
    </w:p>
    <w:p>
      <w:pPr>
        <w:pStyle w:val="Heading2"/>
      </w:pPr>
      <w:r>
        <w:t>Содержание</w:t>
      </w:r>
    </w:p>
    <w:p>
      <w:r>
        <w:t>1 Архитектура этапов 4–6</w:t>
      </w:r>
    </w:p>
    <w:p>
      <w:r>
        <w:t>2 База данных PostgreSQL</w:t>
      </w:r>
    </w:p>
    <w:p>
      <w:r>
        <w:t>3 Обучающий датасет и признаки</w:t>
      </w:r>
    </w:p>
    <w:p>
      <w:r>
        <w:t>4 Эксперименты и выбор модели</w:t>
      </w:r>
    </w:p>
    <w:p>
      <w:r>
        <w:t>5 Кредитная политика и лимит PD</w:t>
      </w:r>
    </w:p>
    <w:p>
      <w:r>
        <w:t>6 Расчёт кредитного предложения</w:t>
      </w:r>
    </w:p>
    <w:p>
      <w:r>
        <w:t>7 Интеграция с backend</w:t>
      </w:r>
    </w:p>
    <w:p>
      <w:r>
        <w:t>8 Тестирование и сценарии</w:t>
      </w:r>
    </w:p>
    <w:p>
      <w:r>
        <w:t>Приложение Источники и состав поставки</w:t>
      </w:r>
    </w:p>
    <w:p>
      <w:pPr>
        <w:pStyle w:val="Heading1"/>
        <w:pageBreakBefore/>
      </w:pPr>
      <w:r>
        <w:t>1 Архитектура этапов 4–6</w:t>
      </w:r>
    </w:p>
    <w:p>
      <w:r>
        <w:t>Подсистема принимает идентификатор заявки, получает сведения из PostgreSQL и серверной конфигурации, выполняет модельный прогноз и рассчитывает предварительное кредитное предложение. Личный кабинет, LLM, аутентификация и интерфейс сотрудника банка взаимодействуют с ней через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584"/>
        <w:gridCol w:w="3528"/>
        <w:gridCol w:w="3785"/>
      </w:tblGrid>
      <w:tr>
        <w:trPr>
          <w:tblHeader/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Этап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Компонент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Выполняемая задача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ML Scoring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Подготовка 15 модельных признаков и прогноз месячного риска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Кривая PD(t), PD12, PD за срок, версия модели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Decision Engine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Проверка продукта, годового риска и способности обслуживать долг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Рекомендация и машиночитаемые причины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 Offer</w:t>
            </w:r>
          </w:p>
        </w:tc>
        <w:tc>
          <w:tcPr>
            <w:tcW w:type="dxa" w:w="35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Перебор сумм и допустимых ставок, построение графика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Черновик суммы, срока, ставки и платежей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drawing>
          <wp:inline xmlns:a="http://schemas.openxmlformats.org/drawingml/2006/main" xmlns:pic="http://schemas.openxmlformats.org/drawingml/2006/picture">
            <wp:extent cx="6152515" cy="2324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4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</w:pPr>
      <w:r>
        <w:rPr>
          <w:i/>
          <w:sz w:val="18"/>
        </w:rPr>
        <w:t>Рисунок 1 Последовательность обработки заявки и передача предложения сотруднику</w:t>
      </w:r>
    </w:p>
    <w:p>
      <w:r>
        <w:t>Этапы 5 и 6 совместно проверяют пары «сумма — ставка». Для каждой пары пересчитываются платёж, PD и годовой лимит PD. Выбирается наибольшая допустимая сумма и минимальная проходящая ставка для этой суммы.</w:t>
      </w:r>
    </w:p>
    <w:p>
      <w:pPr>
        <w:pStyle w:val="Heading2"/>
      </w:pPr>
      <w:r>
        <w:t>1 1 ML Scoring</w:t>
      </w:r>
    </w:p>
    <w:p>
      <w:r>
        <w:t>CatBoostClassifier оценивает условную вероятность дефолта h_m в каждом месяце m при отсутствии дефолта ранее. Накопленная PD рассчитывается из последовательности месячных вероятностей: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S(t) = product(1 - h_m), m = 1..t</w:t>
        <w:br/>
        <w:t>PD(t) = 1 - S(t)</w:t>
        <w:br/>
        <w:t>PD12 = PD(12); PD_term = PD(T)</w:t>
      </w:r>
    </w:p>
    <w:p>
      <w:r>
        <w:t>На момент заявки фиксируются финансовые характеристики, категория деятельности, тип заёмщика и сценарный macro_stress. Для прогнозного горизонта добавляется month_on_book от 1 до T. При изменении проверяемой суммы или ставки модель вызывается повторно с новыми requested_amount и annual_rate.</w:t>
      </w:r>
    </w:p>
    <w:p>
      <w:pPr>
        <w:pStyle w:val="Heading2"/>
      </w:pPr>
      <w:r>
        <w:t>1 2 Decision Engine</w:t>
      </w:r>
    </w:p>
    <w:p>
      <w:r>
        <w:t>Детерминированные правила проверяют идентичность компании и продукта, применимость версии условий, сумму и срок договора, статус компании и результаты внутренних проверок. Риск оценивается сравнением PD12 с PD_limit_1y для одной и той же суммы и ставки. Платёжеспособность проверяется по денежному потоку и существующим обязательствам.</w:t>
      </w:r>
    </w:p>
    <w:p>
      <w:pPr>
        <w:pStyle w:val="Heading2"/>
      </w:pPr>
      <w:r>
        <w:t>1 3 Credit Offer</w:t>
      </w:r>
    </w:p>
    <w:p>
      <w:r>
        <w:t>Для R01 поддерживаются аннуитет и равное погашение основного долга. Для R02 и R03 срок договора рассматривается отдельно от срока транша. По кредитным линиям и овердрафту применяется консервативный сценарий использования лимита и резервирования средств на погашение.</w:t>
      </w:r>
    </w:p>
    <w:p>
      <w:pPr>
        <w:pStyle w:val="Heading2"/>
      </w:pPr>
      <w:r>
        <w:t>1 4 Состояния результата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233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Результат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MANUAL_REVIEW + POSITIVE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Автоматические проверки пройдены; предложение передаётся сотруднику.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MANUAL_REVIEW + REVIEW_REQUIRED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Требуется подтверждение сведений, допущений или условий; предложение может быть предварительным.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REJECT + NEGATIVE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Среди проверенных условий подходящее предложение не найдено; причины включены в результат.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APPROVE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Финальное подтверждение авторизованным сотрудником банка через backend.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Пакет этапов 4–6 формирует предварительную рекомендацию и черновик. Решение сотрудника фиксируется отдельным обработчиком backend. При нехватке модельных данных возвращается MANUAL_REVIEW с причиной DB_INPUTS_UNAVAILABLE; значения PD остаются null.</w:t>
      </w:r>
    </w:p>
    <w:p>
      <w:pPr>
        <w:pStyle w:val="Heading1"/>
      </w:pPr>
      <w:r>
        <w:t>2 База данных PostgreSQL</w:t>
      </w:r>
    </w:p>
    <w:p>
      <w:pPr>
        <w:pStyle w:val="Heading2"/>
      </w:pPr>
      <w:r>
        <w:t>2 1 Развёрнутая среда и версии</w:t>
      </w:r>
    </w:p>
    <w:p>
      <w:r>
        <w:t>Используется локальная PostgreSQL 17.11, база business_scoring, порт 5433. Доступ Python организован через SQLAlchemy и psycopg. Актуальный полный снимок структуры и содержимого находится в bd/v_3 (actual); предыдущий снимок сохранён в bd/v_2.</w:t>
      </w:r>
    </w:p>
    <w:p>
      <w:r>
        <w:t>В снимке v3 представлены 35 таблиц. Полный архив business_scoring_wauth.backup и schema_actual.sql получены из одного экспортированного MVCC-снимка. В manifest.json записаны SHA256 и количество строк. Полное восстановление в отдельную PostgreSQL-базу подтвердило совпадение количества строк во всех таблицах.</w:t>
      </w:r>
    </w:p>
    <w:p>
      <w:pPr>
        <w:pStyle w:val="Heading2"/>
      </w:pPr>
      <w:r>
        <w:t>2 2 Логическая организация данных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752"/>
        <w:gridCol w:w="3209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7"/>
              </w:rPr>
              <w:t>Блок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7"/>
              </w:rPr>
              <w:t>Таблицы</w:t>
            </w:r>
          </w:p>
        </w:tc>
        <w:tc>
          <w:tcPr>
            <w:tcW w:type="dxa" w:w="32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Компания и доступ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companies, company_contacts, company_bank_accounts, company_data_provenance, user_accounts</w:t>
            </w:r>
          </w:p>
        </w:tc>
        <w:tc>
          <w:tcPr>
            <w:tcW w:type="dxa" w:w="32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Профиль, контакты, счета, происхождение данных и аккаунты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Финансы и рисковые события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bank_transactions, financial_statements, credit_obligations, credit_repayment_history, credit_history_events, credit_line_operations, legal_events, collateral, guarantors</w:t>
            </w:r>
          </w:p>
        </w:tc>
        <w:tc>
          <w:tcPr>
            <w:tcW w:type="dxa" w:w="32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Выручка, отчётность, обязательства, платежи и события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Каталог продуктов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credit_products, credit_product_terms, credit_product_rate_options, credit_product_repayment_options, credit_product_purposes, credit_product_eligibility_rules, credit_product_fees</w:t>
            </w:r>
          </w:p>
        </w:tc>
        <w:tc>
          <w:tcPr>
            <w:tcW w:type="dxa" w:w="32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Версии условий, суммы, сроки, ставки, погашение и правила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Заявка и анкета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credit_applications, application_details, application_product_details, application_field_requirements, application_field_values, application_data_requests, application_field_history</w:t>
            </w:r>
          </w:p>
        </w:tc>
        <w:tc>
          <w:tcPr>
            <w:tcW w:type="dxa" w:w="32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Параметры заявки, требования, значения полей и история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Расчёты и аудит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scoring_results, credit_decisions, application_product_terms, application_snapshots, data_quality_checks</w:t>
            </w:r>
          </w:p>
        </w:tc>
        <w:tc>
          <w:tcPr>
            <w:tcW w:type="dxa" w:w="32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Прогнозы, решения, черновики предложений и снимки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Экономическая политика</w:t>
            </w:r>
          </w:p>
        </w:tc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macro_indicators, risk_policy_parameters</w:t>
            </w:r>
          </w:p>
        </w:tc>
        <w:tc>
          <w:tcPr>
            <w:tcW w:type="dxa" w:w="32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Макронаблюдения и действующие версии экономических параметров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pPr>
        <w:pStyle w:val="Heading2"/>
      </w:pPr>
      <w:r>
        <w:t>2 3 Наполнение актуального снимка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3065"/>
      </w:tblGrid>
      <w:tr>
        <w:trPr>
          <w:tblHeader/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Таблица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Количество строк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companies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user_accounts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credit_applications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application_details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application_field_requirements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99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application_field_values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836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application_field_history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836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bank_transactions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720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financial_statements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credit_obligations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credit_repayment_history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180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credit_products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credit_product_terms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credit_product_rate_options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credit_product_repayment_options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credit_product_purposes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risk_policy_parameters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6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macro_indicators</w:t>
            </w:r>
          </w:p>
        </w:tc>
        <w:tc>
          <w:tcPr>
            <w:tcW w:type="dxa" w:w="306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Тестовый контур включает 30 синтетических компаний AUR-01–AUR-30, идентификаторы company_id 35–64, и 32 пользовательских аккаунта. В актуальном снимке ранее созданные 30 заявок имеют статус CANCELLED. Новое оформление создаёт новую заявку; диагностическое сравнение компаний использует гипотетический запрос только в памяти.</w:t>
      </w:r>
    </w:p>
    <w:p>
      <w:r>
        <w:t>На дату снимка таблицы scoring_results, credit_decisions, application_product_terms и application_snapshots содержат по 0 строк. Результаты диагностического прогона сохраняются локально в CSV/JSON без записи в БД.</w:t>
      </w:r>
    </w:p>
    <w:p>
      <w:pPr>
        <w:pStyle w:val="Heading2"/>
      </w:pPr>
      <w:r>
        <w:t>2 4 Связи и целостность</w:t>
      </w:r>
    </w:p>
    <w:p>
      <w:r>
        <w:t>Компания связывается с заявками по company_id; продукт — по product_code. Результаты скоринга и решения относятся к application_id. Составные внешние ключи обеспечивают соответствие результата скоринга заявке, версии условий продукту, а варианта ставки и погашения выбранному terms_id. История полей и снимки защищены от UPDATE/DELETE триггерами аудита.</w:t>
      </w:r>
    </w:p>
    <w:p>
      <w:pPr>
        <w:pStyle w:val="Heading2"/>
      </w:pPr>
      <w:r>
        <w:t>2 5 Запись результатов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97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Сущность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Сохраняемые данные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scoring_results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Версия модели, PD на наибольшем оценённом горизонте, UNRATED, feature_snapshot с кривой, горизонтом и источниками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credit_decisions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MANUAL_REVIEW/REJECT, версия политики, причины; approved_amount и approved_term_days остаются NULL при ручной проверке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application_product_terms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DRAFT: сумма, срок, ставка, выбранные условия продукта и подробности расчёта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application_snapshots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Неизменяемый DECISION-снимок, входные параметры, политика, модель и идентификаторы записей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Все записи одного расчёта выполняются атомарно. Транзакция REPEATABLE READ и блокировка строки заявки обеспечивают согласованный запуск. Повтор одинакового снимка, политики и модели возвращает прежние идентификаторы; изменение входа формирует новую ревизию.</w:t>
      </w:r>
    </w:p>
    <w:p>
      <w:pPr>
        <w:pStyle w:val="Heading1"/>
      </w:pPr>
      <w:r>
        <w:t>3 Обучающий датасет и признаки</w:t>
      </w:r>
    </w:p>
    <w:p>
      <w:pPr>
        <w:pStyle w:val="Heading2"/>
      </w:pPr>
      <w:r>
        <w:t>3 1 Источник и подготовка</w:t>
      </w:r>
    </w:p>
    <w:p>
      <w:r>
        <w:t>Исследовательский набор ml_survival_dataset.parquet сформирован из синтетических помесячных наблюдений. Исходный массив включал 1 600 Parquet-файлов, 13 327 942 строки и 200 000 заёмщиков. При подготовке средствами DuckDB отбирались содержательные записи с заполненными borrower_id, episode_id, month_on_book и current_monthly_revenue.</w:t>
      </w:r>
    </w:p>
    <w:p>
      <w:r>
        <w:t>Данные агрегированы по паре borrower_id и episode_id. Вектор исходных характеристик взят из первого месяца. Для каждого эпизода рассчитаны first_month, last_month, observation_count, first_default_month, duration и event. Будущие значения current_* используются для исследования динамических моделей и не входят в исходный вектор прогноза на дату заявки.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801"/>
      </w:tblGrid>
      <w:tr>
        <w:trPr>
          <w:tblHeader/>
          <w:cantSplit/>
        </w:trPr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Характеристика</w:t>
            </w:r>
          </w:p>
        </w:tc>
        <w:tc>
          <w:tcPr>
            <w:tcW w:type="dxa" w:w="58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Размерность</w:t>
            </w:r>
          </w:p>
        </w:tc>
        <w:tc>
          <w:tcPr>
            <w:tcW w:type="dxa" w:w="58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200 000 эпизодов × 24 столбца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Дефолты</w:t>
            </w:r>
          </w:p>
        </w:tc>
        <w:tc>
          <w:tcPr>
            <w:tcW w:type="dxa" w:w="58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57 279 — 28,64%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Без зафиксированного дефолта</w:t>
            </w:r>
          </w:p>
        </w:tc>
        <w:tc>
          <w:tcPr>
            <w:tcW w:type="dxa" w:w="58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142 721 — 71,36%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Сроки</w:t>
            </w:r>
          </w:p>
        </w:tc>
        <w:tc>
          <w:tcPr>
            <w:tcW w:type="dxa" w:w="58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12, 18, 24, 36, 48, 60 месяцев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Train / Validation / Test</w:t>
            </w:r>
          </w:p>
        </w:tc>
        <w:tc>
          <w:tcPr>
            <w:tcW w:type="dxa" w:w="58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140 000 / 30 000 / 30 000 эпизодов; разделение по borrower_id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pPr>
        <w:pStyle w:val="Heading2"/>
      </w:pPr>
      <w:r>
        <w:t>3 2 Распределения и цензурирование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592"/>
        <w:gridCol w:w="2592"/>
        <w:gridCol w:w="2921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Срок мес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Эпизоды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Дефолты</w:t>
            </w:r>
          </w:p>
        </w:tc>
        <w:tc>
          <w:tcPr>
            <w:tcW w:type="dxa" w:w="29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Средняя duration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32 087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4 469</w:t>
            </w:r>
          </w:p>
        </w:tc>
        <w:tc>
          <w:tcPr>
            <w:tcW w:type="dxa" w:w="29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11,01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25 990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5 067</w:t>
            </w:r>
          </w:p>
        </w:tc>
        <w:tc>
          <w:tcPr>
            <w:tcW w:type="dxa" w:w="29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15,47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48 017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12 130</w:t>
            </w:r>
          </w:p>
        </w:tc>
        <w:tc>
          <w:tcPr>
            <w:tcW w:type="dxa" w:w="29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19,04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48 075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16 322</w:t>
            </w:r>
          </w:p>
        </w:tc>
        <w:tc>
          <w:tcPr>
            <w:tcW w:type="dxa" w:w="29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24,52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28 048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11 198</w:t>
            </w:r>
          </w:p>
        </w:tc>
        <w:tc>
          <w:tcPr>
            <w:tcW w:type="dxa" w:w="29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28,03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17 783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8 093</w:t>
            </w:r>
          </w:p>
        </w:tc>
        <w:tc>
          <w:tcPr>
            <w:tcW w:type="dxa" w:w="29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29,77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98 429 эпизодов завершены без дефолта после полного договорного срока; 44 292 наблюдения без дефолта закончились ранее срока. Такие наблюдения учитываются как правосторонне цензурированные. В проверенном наборе duration положительна, не превышает срок договора; дефолты после окончания срока отсутствуют.</w:t>
      </w:r>
    </w:p>
    <w:p>
      <w:pPr>
        <w:pStyle w:val="Heading2"/>
      </w:pPr>
      <w:r>
        <w:t>3 3 Контракт модели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593"/>
      </w:tblGrid>
      <w:tr>
        <w:trPr>
          <w:tblHeader/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Признак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Определение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age_months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Полные календарные месяцы от регистрации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industry / entity_type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Шесть категорий деятельности; IP или OOO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monthly_revenue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Выручка последнего завершённого месяца, рубли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revenue_trend_12m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Отношение выручки t к t−12 минус 1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revenue_volatility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Population std / mean в месячном окне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operating_margin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Отношение операционного денежного потока к выручке; в DB-контракте применяется proxy из отчётности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cash_buffer_months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Денежный остаток / месячная выручка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dscr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Поток для обслуживания долга / существующий платёж; модельный диапазон 0,05–8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debt_to_revenue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Коэффициент base_debt генератора; в DB-контракте — proxy через формулу существующего платежа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prior_overdue_30d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Бинарный индикатор просрочки от 30 дней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requested_amount / annual_rate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Проверяемая сумма и годовая ставка в долях единицы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macro_stress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Синтетический сценарный показатель на дату оценки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month_on_book</w:t>
            </w:r>
          </w:p>
        </w:tc>
        <w:tc>
          <w:tcPr>
            <w:tcW w:type="dxa" w:w="65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Прогнозируемый месяц от 1 до T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Всего используется 15 признаков. industry и entity_type — категориальные. term_months определяет длину прогноза, но не входит в вектор модели. Ставка 29% передаётся как annual_rate=0.29.</w:t>
      </w:r>
    </w:p>
    <w:p>
      <w:pPr>
        <w:pStyle w:val="Heading2"/>
      </w:pPr>
      <w:r>
        <w:t>3 4 Подготовка данных из PostgreSQL</w:t>
      </w:r>
    </w:p>
    <w:p>
      <w:r>
        <w:t>Автоматический контракт db_auto_v3 формирует входы по application_id. Категория industry определяется по серверной таблице соответствий ОКВЭД. LEGAL_ENTITY преобразуется в OOO, INDIVIDUAL_ENTREPRENEUR — в IP. Нейтральный сценарий macro_stress=0 задаётся явно в конфигурации подготовки входов.</w:t>
      </w:r>
    </w:p>
    <w:p>
      <w:r>
        <w:t>Генератор задаёт существующий платёж как base_revenue × base_debt × 0.16. Для подключения используется приближённая инверсия этой зависимости, в которой latent base_revenue представлена исторической средней выручкой: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model_base_debt_proxy = existing_monthly_payment /</w:t>
        <w:br/>
        <w:t xml:space="preserve">                        (0.16 * historical_mean_revenue)</w:t>
        <w:br/>
        <w:t>model_dscr = clip(max(0, operating_cash_proxy) / existing_payment, 0.05, 8)</w:t>
      </w:r>
    </w:p>
    <w:p>
      <w:r>
        <w:t>Преобразования диапазонов повторяют генератор: DSCR 0,05–8; денежный резерв 0–18; base_debt 0,03–3; тренд −0,9–3; волатильность 0–3; маржа −0,28–0,48. Исходный DSCR, наблюдаемый остаток долга / месячная выручка и применённые преобразования сохраняются отдельно в финансовом аудите. Денежные ограничения кредитного предложения рассчитываются по исходным суммам и платежам.</w:t>
      </w:r>
    </w:p>
    <w:p>
      <w:r>
        <w:t>Для регулярного расчёта используются 13 завершённых месяцев положительной рублёвой выручки REVENUE, однозначная последняя верифицированная отчётность, известные обязательства и история платежей. В диагностическом контракте db_diagnostic_v2 при 6–12 последовательных наблюдаемых месяцах годовой тренд оценивается лог-линейным наклоном; соответствующая методика включается в описание результата.</w:t>
      </w:r>
    </w:p>
    <w:p>
      <w:pPr>
        <w:pStyle w:val="Heading1"/>
      </w:pPr>
      <w:r>
        <w:t>4 Эксперименты и выбор модели</w:t>
      </w:r>
    </w:p>
    <w:p>
      <w:pPr>
        <w:pStyle w:val="Heading2"/>
      </w:pPr>
      <w:r>
        <w:t>4 1 Сравниваемые подходы</w:t>
      </w:r>
    </w:p>
    <w:p>
      <w:r>
        <w:t>В исследовании последовательно проверены помесячные модели мониторинга, CatBoost SurvivalAft и CatBoost Discrete-Time Survival. Для основного контура требуется получить кривую PD на дату заявки, используя только доступные в этот момент признаки.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600"/>
        <w:gridCol w:w="3785"/>
      </w:tblGrid>
      <w:tr>
        <w:trPr>
          <w:tblHeader/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Подход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Представление задачи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Роль в исследовании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V2 Dynamic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Одномесячный hazard по фактически известным динамическим показателям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Исследование мониторинга действующего кредита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V2 Origination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Месячный hazard на исходных характеристиках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Референс помесячного подхода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SurvivalAft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Распределение времени до дефолта с учётом цензурирования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Параметрический survival-baseline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Discrete-Time Survival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Условный hazard по месяцам и произведение вероятностей выживания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Архитектура расчёта полной PD-кривой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Discrete-Time с Optuna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Подбор параметров по накопленной PD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Этап вероятностной оптимизации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dt_monotone_v1</w:t>
            </w:r>
          </w:p>
        </w:tc>
        <w:tc>
          <w:tcPr>
            <w:tcW w:type="dxa" w:w="36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Discrete-Time с монотонными ограничениями</w:t>
            </w:r>
          </w:p>
        </w:tc>
        <w:tc>
          <w:tcPr>
            <w:tcW w:type="dxa" w:w="37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Выбранная конфигурация интеграционного контура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pPr>
        <w:pStyle w:val="Heading2"/>
      </w:pPr>
      <w:r>
        <w:t>4 2 Ранние помесячные эксперименты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2828"/>
        <w:gridCol w:w="2828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Метрика на Test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V2 Dynamic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V2 Origination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ROC-AUC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0,7145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0,6373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PR-AUC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0,0584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0,0416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LogLoss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0,08741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0,09117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Brier Score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0,01819</w:t>
            </w:r>
          </w:p>
        </w:tc>
        <w:tc>
          <w:tcPr>
            <w:tcW w:type="dxa" w:w="28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0,01840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На одинаковых тестовых строках динамические показатели повысили качество одномесячного прогнозирования. Для оценки риска на дату заявки далее использовалась survival-архитектура с фиксированным исходным вектором.</w:t>
      </w:r>
    </w:p>
    <w:p>
      <w:pPr>
        <w:pStyle w:val="Heading2"/>
      </w:pPr>
      <w:r>
        <w:t>4 3 SurvivalAft и Discrete Time</w:t>
      </w:r>
    </w:p>
    <w:p>
      <w:r>
        <w:t>В прямом сравнении использованы одни и те же 7 185 validation-эпизодов сроком 36 месяцев. SurvivalAft обучалась с Normal-распределением и scale=1; Discrete-Time — как CatBoostClassifier с LogLoss.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2576"/>
        <w:gridCol w:w="2576"/>
      </w:tblGrid>
      <w:tr>
        <w:trPr>
          <w:tblHeader/>
          <w:cantSplit/>
        </w:trPr>
        <w:tc>
          <w:tcPr>
            <w:tcW w:type="dxa" w:w="45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Метрика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SurvivalAft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Discrete-Time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C-index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0,6353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0,6450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IPCW Brier PD12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0,12742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0,12446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IPCW Brier PD24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0,20561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0,18344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Среднее Brier PD12 и PD24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0,16652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0,15395</w:t>
            </w:r>
          </w:p>
        </w:tc>
      </w:tr>
      <w:tr>
        <w:trPr>
          <w:cantSplit/>
        </w:trPr>
        <w:tc>
          <w:tcPr>
            <w:tcW w:type="dxa" w:w="45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Взвешенное отклонение калибровки PD12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0,03382</w:t>
            </w:r>
          </w:p>
        </w:tc>
        <w:tc>
          <w:tcPr>
            <w:tcW w:type="dxa" w:w="25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0,01207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Discrete-Time продемонстрировала более высокий C-index и меньший Brier на обоих горизонтах. Средний Brier уменьшился примерно на 7,5%, а взвешенное абсолютное отклонение калибровки PD12 — примерно на 64,3%. Поэтому Discrete-Time выбрана базовой архитектурой дальнейших экспериментов.</w:t>
      </w:r>
    </w:p>
    <w:p>
      <w:pPr>
        <w:pStyle w:val="Heading2"/>
      </w:pPr>
      <w:r>
        <w:t>4 4 Оптимизация Optuna</w:t>
      </w:r>
    </w:p>
    <w:p>
      <w:r>
        <w:t>Выполнены два этапа: 12 trials предварительного поиска и 30 trials уточнения. Критерий — средний IPCW Brier по 18 сочетаниям срока и горизонта, взвешенный количеством эпизодов. Выбор гиперпараметров проводился на Validation.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3641"/>
      </w:tblGrid>
      <w:tr>
        <w:trPr>
          <w:tblHeader/>
          <w:cantSplit/>
        </w:trPr>
        <w:tc>
          <w:tcPr>
            <w:tcW w:type="dxa" w:w="60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Конфигурация</w:t>
            </w:r>
          </w:p>
        </w:tc>
        <w:tc>
          <w:tcPr>
            <w:tcW w:type="dxa" w:w="36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Validation IPCW Brier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Discrete-Time baseline</w:t>
            </w:r>
          </w:p>
        </w:tc>
        <w:tc>
          <w:tcPr>
            <w:tcW w:type="dxa" w:w="36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0,126196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Optuna Stage 1</w:t>
            </w:r>
          </w:p>
        </w:tc>
        <w:tc>
          <w:tcPr>
            <w:tcW w:type="dxa" w:w="36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0,125871</w:t>
            </w:r>
          </w:p>
        </w:tc>
      </w:tr>
      <w:tr>
        <w:trPr>
          <w:cantSplit/>
        </w:trPr>
        <w:tc>
          <w:tcPr>
            <w:tcW w:type="dxa" w:w="604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Optuna Stage 2 trial 27</w:t>
            </w:r>
          </w:p>
        </w:tc>
        <w:tc>
          <w:tcPr>
            <w:tcW w:type="dxa" w:w="36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0,125641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Stage 2 использовала depth=3, learning_rate≈0,135875, l2_leaf_reg≈1,717181, bagging_temperature≈0,059517 и лучшую итерацию 762. В отдельном историческом протоколе финального ноутбука для Stage 2 получены ROC-AUC=0,6934, Gini=38,69%, PR-AUC=0,3894 и IPCW Brier=0,127430. Эти показатели относятся к указанной конфигурации и процедуре оценки.</w:t>
      </w:r>
    </w:p>
    <w:p>
      <w:pPr>
        <w:pStyle w:val="Heading2"/>
      </w:pPr>
      <w:r>
        <w:t>4 5 Определения метрик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97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Метрика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ROC-AUC / Gini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Ранжирование риска на заданном горизонте; Gini = 2 × ROC-AUC − 1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PR-AUC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Average Precision; характеристика выделения дефолтов с учётом их частоты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IPCW Brier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Среднее квадратичное отклонение PD с весами, учитывающими цензурирование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Калибровка по децилям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Сопоставление средней PD с наблюдаемой вероятностью события в группах риска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C-index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Согласованность ранжирования времени до события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Bootstrap</w:t>
            </w:r>
          </w:p>
        </w:tc>
        <w:tc>
          <w:tcPr>
            <w:tcW w:type="dxa" w:w="709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Повторная выборка по borrower_id для оценки устойчивости метрик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В историческом протоколе Stage 2 использованы 300 cluster-bootstrap повторений. Различия Brier со Stage 1 и baseline анализировались по каждому сроку и горизонту. Сводные AUC/Gini/PR-AUC представляют взвешенные средние по комбинациям горизонтов, а не долю правильных кредитных решений.</w:t>
      </w:r>
    </w:p>
    <w:p>
      <w:pPr>
        <w:pStyle w:val="Heading2"/>
      </w:pPr>
      <w:r>
        <w:t>4 6 Конфигурация с монотонными ограничениями</w:t>
      </w:r>
    </w:p>
    <w:p>
      <w:r>
        <w:t>Для интеграционного контура исследована dt_monotone_v1. Модель сохраняет архитектуру Discrete-Time и задаёт направления реакции на изменение финансовых факторов. Рост DSCR, денежного резерва, операционной маржи и тренда выручки соответствует невозрастающей PD. Рост долгового коэффициента, суммы, ставки, волатильности, macro_stress и индикатора просрочки соответствует неубывающей PD.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76"/>
        <w:gridCol w:w="5513"/>
      </w:tblGrid>
      <w:tr>
        <w:trPr>
          <w:tblHeader/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Параметр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dt_monotone_v1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Класс / loss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CatBoostClassifier / LogLoss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Обработка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CPU; monotone_constraints; max_ctr_complexity=1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Глубина / learning_rate / L2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 / 0,08 / 3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Лимит итераций / early stopping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500 / 80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Выбранная итерация / число деревьев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270 / 271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Обучение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35 000 эпизодов из исходного Train; фиксированный seed 20261024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Validation / Test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30 000 / 30 000 эпизодов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Категориальные признаки</w:t>
            </w:r>
          </w:p>
        </w:tc>
        <w:tc>
          <w:tcPr>
            <w:tcW w:type="dxa" w:w="551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industry, entity_type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Ограничения монотонности CatBoost поддерживаются на CPU. Обучающая подвыборка выбрана воспроизводимо внутри исходного Train; Validation использована целиком. Проверка монотонности выполнена на 128 профилях с последовательным изменением каждого ограниченного фактора. Во всех 10 наборах проверок выполнено заданное направление реакции.</w:t>
      </w:r>
    </w:p>
    <w:p>
      <w:pPr>
        <w:pStyle w:val="Heading2"/>
      </w:pPr>
      <w:r>
        <w:t>4 7 Сопоставление вероятностных метрик</w:t>
      </w:r>
    </w:p>
    <w:p>
      <w:r>
        <w:t>Optuna Stage 2 и dt_monotone_v1 сопоставлены в единой процедуре sksurv.metrics.brier_score на одинаковых разбиениях. Оценки цензурирования построены по Train. Отдельно рассчитано максимальное абсолютное отклонение калибровки по децилям и горизонтам.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2504"/>
        <w:gridCol w:w="2504"/>
      </w:tblGrid>
      <w:tr>
        <w:trPr>
          <w:tblHeader/>
          <w:cantSplit/>
        </w:trPr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Метрика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Optuna Stage 2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dt_monotone_v1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Validation weighted IPCW Brier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0,125641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0,127814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Validation max отклонение калибровки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0,036897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0,027794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Test weighted IPCW Brier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0,128336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0,130318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Test max отклонение калибровки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0,037464</w:t>
            </w:r>
          </w:p>
        </w:tc>
        <w:tc>
          <w:tcPr>
            <w:tcW w:type="dxa" w:w="25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0,029719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Модель для поставки выбиралась по совокупности вероятностных метрик, калибровки и финансовой семантики. Критерии включали validation weighted IPCW Brier в пределах допуска 0,003 к референсу, максимальное абсолютное отклонение калибровки до 0,06 и выполнение всех проверок монотонности. По этим критериям выбрана dt_monotone_v1.</w:t>
      </w:r>
    </w:p>
    <w:p>
      <w:r>
        <w:t>Протокол сопоставления следует рассматривать отдельно от исторического ноутбука с собственной обработкой IPCW при совпадающих дискретных временах. Test используется для сравнительного отчёта выбранных конфигураций; распределение решений по 30 демонстрационным компаниям не участвует в обучении и выборе параметров модели.</w:t>
      </w:r>
    </w:p>
    <w:p>
      <w:pPr>
        <w:pStyle w:val="Heading2"/>
      </w:pPr>
      <w:r>
        <w:t>4 8 Оценённые горизонты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233"/>
      </w:tblGrid>
      <w:tr>
        <w:trPr>
          <w:tblHeader/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Срок договора мес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Горизонты сравнения PD мес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6, 12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6, 12, 18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36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6, 12, 24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6, 12, 24, 36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623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6, 12, 24, 36, 48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Горизонты Brier расположены внутри срока наблюдения. Полная PD-кривая рассчитывается до T. Для годового договора PD12 дополнительно помечается как горизонт вне исходного набора сравнительной оценки; применение в демонстрационной политике задаётся параметром allow_unvalidated_term_pd.</w:t>
      </w:r>
    </w:p>
    <w:p>
      <w:pPr>
        <w:pStyle w:val="Heading2"/>
      </w:pPr>
      <w:r>
        <w:t>4 9 Выбранная модель и условия использования</w:t>
      </w:r>
    </w:p>
    <w:p>
      <w:r>
        <w:t>В поставке используется dt_monotone_v1. Результаты исследования получены на синтетических кредитных эпизодах. Серверная конфигурация хранит версию модели, порядок признаков, ограничения монотонности, оценённые горизонты и SHA256 артефакта. Входные преобразования и параметры экономической политики записываются вместе с расчётом, обеспечивая воспроизводимость рекомендации.</w:t>
      </w:r>
    </w:p>
    <w:p>
      <w:pPr>
        <w:pStyle w:val="Heading1"/>
      </w:pPr>
      <w:r>
        <w:t>5 Кредитная политика и лимит PD</w:t>
      </w:r>
    </w:p>
    <w:p>
      <w:pPr>
        <w:pStyle w:val="Heading2"/>
      </w:pPr>
      <w:r>
        <w:t>5 1 Годовая экономическая граница</w:t>
      </w:r>
    </w:p>
    <w:p>
      <w:r>
        <w:t>Лимит PD рассчитывается детерминированно из экономики предложения. Модель прогнозирует риск компании; политика определяет допустимую годовую границу для проверяемой ставки. Используется следующая последовательность: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F = KEY_RATE + funding_spread</w:t>
        <w:br/>
        <w:t>PD_limit_1y_raw = ((R - F - O - M) / 100) / (LGD_pct / 100)</w:t>
        <w:br/>
        <w:t>PD_limit_1y = max(0, min(1, PD_limit_1y_raw))</w:t>
        <w:br/>
        <w:t>Risk_pass = (R - F - O - M &gt; 0) and (PD12 &lt;= PD_limit_1y)</w:t>
      </w:r>
    </w:p>
    <w:p>
      <w:r>
        <w:t>R, F, O и M задаются в процентах годовых; LGD_pct — процент потерь при дефолте. Результат формулы передаётся в долях единицы. С PD_limit_1y сравнивается PD12 для тех же суммы и ставки; PD за весь срок включается в результат отдельно. При LGD=0 требуется конфигурация другого метода расчёта.</w:t>
      </w:r>
    </w:p>
    <w:p>
      <w:pPr>
        <w:pStyle w:val="Heading2"/>
      </w:pPr>
      <w:r>
        <w:t>5 2 Действующая версия параметров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1440"/>
        <w:gridCol w:w="5225"/>
      </w:tblGrid>
      <w:tr>
        <w:trPr>
          <w:tblHeader/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Параметр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Значение</w:t>
            </w:r>
          </w:p>
        </w:tc>
        <w:tc>
          <w:tcPr>
            <w:tcW w:type="dxa" w:w="52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KEY_RATE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14,00%</w:t>
            </w:r>
          </w:p>
        </w:tc>
        <w:tc>
          <w:tcPr>
            <w:tcW w:type="dxa" w:w="52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Официальное наблюдение ЦБ с 27.07.2026; подтверждено решением 23.10.2026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funding_spread_pct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1,50 п.п.</w:t>
            </w:r>
          </w:p>
        </w:tc>
        <w:tc>
          <w:tcPr>
            <w:tcW w:type="dxa" w:w="52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Параметр фондирования демонстрационной политики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operating_cost_pct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2,00 п.п.</w:t>
            </w:r>
          </w:p>
        </w:tc>
        <w:tc>
          <w:tcPr>
            <w:tcW w:type="dxa" w:w="52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Годовой параметр операционных затрат MVP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required_margin_pct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3,00 п.п.</w:t>
            </w:r>
          </w:p>
        </w:tc>
        <w:tc>
          <w:tcPr>
            <w:tcW w:type="dxa" w:w="52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Целевая остаточная доходность MVP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lgd_pct</w:t>
            </w:r>
          </w:p>
        </w:tc>
        <w:tc>
          <w:tcPr>
            <w:tcW w:type="dxa" w:w="144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45,00%</w:t>
            </w:r>
          </w:p>
        </w:tc>
        <w:tc>
          <w:tcPr>
            <w:tcW w:type="dxa" w:w="522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Консервативное допущение: внешний ориентир 40% и буфер 5 п.п.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В БД сохранены три строки AURELIUS_MVP_20261024_V1 для R01/R02/R03. Период действия — с 24.10.2026 по 17.12.2026 включительно. Для данной версии F=15,5%, а формула в числах процентов упрощается до PD_limit_1y=(R−20,5)/45. Значения спреда, расходов, маржи и LGD являются зафиксированными допущениями демонстрационного контура.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937"/>
      </w:tblGrid>
      <w:tr>
        <w:trPr>
          <w:tblHeader/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Ставка предложения</w:t>
            </w:r>
          </w:p>
        </w:tc>
        <w:tc>
          <w:tcPr>
            <w:tcW w:type="dxa" w:w="4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Годовой лимит PD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25,5%</w:t>
            </w:r>
          </w:p>
        </w:tc>
        <w:tc>
          <w:tcPr>
            <w:tcW w:type="dxa" w:w="4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11,11%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28,0%</w:t>
            </w:r>
          </w:p>
        </w:tc>
        <w:tc>
          <w:tcPr>
            <w:tcW w:type="dxa" w:w="4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16,67%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29,0%</w:t>
            </w:r>
          </w:p>
        </w:tc>
        <w:tc>
          <w:tcPr>
            <w:tcW w:type="dxa" w:w="4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18,89%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29,5%</w:t>
            </w:r>
          </w:p>
        </w:tc>
        <w:tc>
          <w:tcPr>
            <w:tcW w:type="dxa" w:w="4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20,00%</w:t>
            </w:r>
          </w:p>
        </w:tc>
      </w:tr>
      <w:tr>
        <w:trPr>
          <w:cantSplit/>
        </w:trPr>
        <w:tc>
          <w:tcPr>
            <w:tcW w:type="dxa" w:w="47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30,0%</w:t>
            </w:r>
          </w:p>
        </w:tc>
        <w:tc>
          <w:tcPr>
            <w:tcW w:type="dxa" w:w="493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21,11%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pPr>
        <w:pStyle w:val="Heading2"/>
      </w:pPr>
      <w:r>
        <w:t>5 3 Версионирование и источники</w:t>
      </w:r>
    </w:p>
    <w:p>
      <w:r>
        <w:t>Ключевая ставка читается из macro_indicators на дату оценки. Экономическая политика выбирается по product_code и периоду действия. Несколько одновременно применимых версий считаются неоднозначной конфигурацией. Источники, значения и допущения baseline_20261024.json включаются в аудит расчёта для соответствующей версии.</w:t>
      </w:r>
    </w:p>
    <w:p>
      <w:r>
        <w:t>После изменения рабочей БД формируется следующий полный дамп bd/v_N (actual), а у предыдущего снимка снимается отметка actual. История макронаблюдений и прежних политик сохраняется. До фиксации актуальной версии выполняется проверка архива и состава таблиц.</w:t>
      </w:r>
    </w:p>
    <w:p>
      <w:pPr>
        <w:pStyle w:val="Heading1"/>
      </w:pPr>
      <w:r>
        <w:t>6 Расчёт кредитного предложения</w:t>
      </w:r>
    </w:p>
    <w:p>
      <w:pPr>
        <w:pStyle w:val="Heading2"/>
      </w:pPr>
      <w:r>
        <w:t>6 1 Платёжеспособность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Available_payment = max(0, CFADS_monthly / minimum_dscr</w:t>
        <w:br/>
        <w:t xml:space="preserve">                           - existing_monthly_debt_service)</w:t>
      </w:r>
    </w:p>
    <w:p>
      <w:r>
        <w:t>CFADS_monthly — поток, доступный для обслуживания долга; minimum_dscr в демонстрационной политике равен 1,20. Для DB-контракта поток оценивается через выручку последнего завершённого месяца и маржу верифицированной отчётности. Источник и метод расчёта сохраняются вместе с результатом.</w:t>
      </w:r>
    </w:p>
    <w:p>
      <w:r>
        <w:t>Для R01 бюджет сравнивается с максимальным платежом рассчитанного графика. Например, кредит 3 млн ₽ на 36 месяцев при 25,5% даёт аннуитетный платёж около 120 тыс. ₽ в месяц. Переход к другой ставке сопровождается новым расчётом платежа и проверки долгового покрытия.</w:t>
      </w:r>
    </w:p>
    <w:p>
      <w:pPr>
        <w:pStyle w:val="Heading2"/>
      </w:pPr>
      <w:r>
        <w:t>6 2 Подбор суммы и ставки</w:t>
      </w:r>
    </w:p>
    <w:p>
      <w:r>
        <w:t>Суммы перебираются по убыванию от меньшего из запрошенной суммы и каталожного максимума. Шаг демонстрационной политики — 50 тыс. ₽; дополнительно включаются точная верхняя сумма и нижняя граница продукта. Для каждой суммы рассматриваются разрешённые ставки по возрастанию.</w:t>
      </w:r>
    </w:p>
    <w:p>
      <w:r>
        <w:t>При отсутствии внешней индивидуальной котировки начальная черновая ставка равна публичной базовой ставке выбранного варианта плюс 2 п.п. Диапазон ограничен 30% годовых, шаг — 0,5 п.п.; максимальная ставка каталога имеет приоритет. Это серверная политика MVP_DB_INPUTS_V2. Если backend передал фиксированную индивидуальную цену без pricing_policy, она остаётся фиксированной.</w:t>
      </w:r>
    </w:p>
    <w:p>
      <w:r>
        <w:t>Приоритет оптимизации: наибольшая проходящая сумма, затем минимальная ставка для этой суммы. Для каждой пары заново вычисляются платёж, PD12 и PD_limit_1y. Таким образом доходность и риск сопоставляются в одном наборе условий. Подобранная цена и её допущения передаются сотруднику банка для подтверждения.</w:t>
      </w:r>
    </w:p>
    <w:p>
      <w:pPr>
        <w:pStyle w:val="Heading2"/>
      </w:pPr>
      <w:r>
        <w:t>6 3 Продуктовая логика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6953"/>
      </w:tblGrid>
      <w:tr>
        <w:trPr>
          <w:tblHeader/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Продукт</w:t>
            </w:r>
          </w:p>
        </w:tc>
        <w:tc>
          <w:tcPr>
            <w:tcW w:type="dxa" w:w="69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График и проверка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R01 Разовый кредит</w:t>
            </w:r>
          </w:p>
        </w:tc>
        <w:tc>
          <w:tcPr>
            <w:tcW w:type="dxa" w:w="69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ANNUITY или EQUAL_PRINCIPAL. Проверка по максимальному месячному платежу.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R02 Кредитная линия</w:t>
            </w:r>
          </w:p>
        </w:tc>
        <w:tc>
          <w:tcPr>
            <w:tcW w:type="dxa" w:w="69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BULLET или EQUAL_PRINCIPAL. Отдельный срок транша; резерв погашения лимита за этот срок и проценты.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R03 Овердрафт</w:t>
            </w:r>
          </w:p>
        </w:tc>
        <w:tc>
          <w:tcPr>
            <w:tcW w:type="dxa" w:w="695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Каталожный OTHER; отдельный срок задолженности. Резерв по завершённым 31-дневным периодам, минимум один, плюс проценты.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Сценарий R02/R03 предполагает полностью выбранный лимит в течение договора. Взносы в резерв погашения используются для проверки способности вернуть основной долг. Услуги, подписки и комиссии с отдельной моделью применения передаются на ручное рассмотрение.</w:t>
      </w:r>
    </w:p>
    <w:p>
      <w:pPr>
        <w:pStyle w:val="Heading2"/>
      </w:pPr>
      <w:r>
        <w:t>6 4 Помесячная экономическая диагностика</w:t>
      </w:r>
    </w:p>
    <w:p>
      <w:r>
        <w:t>Дополнительно рассчитываются ожидаемые проценты, фондирование, операционные расходы и потери по месячному остатку долга. Условные hazard преобразуются в безусловные месячные вероятности дефолта; ожидаемые потери равны вероятности события × EAD × LGD. Результаты дисконтируются. При основном методе annual_pd_limit эти значения сопровождают рекомендацию как дополнительная аналитика.</w:t>
      </w:r>
    </w:p>
    <w:p>
      <w:pPr>
        <w:pStyle w:val="Heading1"/>
      </w:pPr>
      <w:r>
        <w:t>7 Интеграция с backend</w:t>
      </w:r>
    </w:p>
    <w:p>
      <w:pPr>
        <w:pStyle w:val="Heading2"/>
      </w:pPr>
      <w:r>
        <w:t>7 1 Точка входа и конфигурация</w:t>
      </w:r>
    </w:p>
    <w:p>
      <w:r>
        <w:t>Подсистема поставляется как Python-пакет main. Backend задаёт DATABASE_URL в окружении процесса, проверяет принадлежность заявки авторизованной компании и вызывает run_application. HTTP endpoint, очередь сотрудника и финальный акцепт реализуются на уровне backend.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from main.database import run_application</w:t>
        <w:br/>
        <w:br/>
        <w:t>result = run_application(application_id=123, save=True)</w:t>
      </w:r>
    </w:p>
    <w:p>
      <w:r>
        <w:t>Возвращается Python dict, пригодный для JSON. save=False выполняет расчёт без записи результатов. Для явно подготовленного снимка доступен evaluate_application(snapshot, policy, predictor), возвращающий Assessment с методом to_dict(). Для длительно работающего сервиса экземпляр Predictor можно передавать и переиспользовать.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CMD</w:t>
        <w:br/>
        <w:t>set "DATABASE_URL=postgresql+psycopg://USER:PASSWORD@127.0.0.1:5433/business_scoring"</w:t>
        <w:br/>
        <w:t>python -m main.pipeline --application-id 123</w:t>
        <w:br/>
        <w:br/>
        <w:t>PowerShell</w:t>
        <w:br/>
        <w:t>$env:DATABASE_URL = "postgresql+psycopg://USER:PASSWORD@127.0.0.1:5433/business_scoring"</w:t>
      </w:r>
    </w:p>
    <w:p>
      <w:pPr>
        <w:pStyle w:val="Heading2"/>
      </w:pPr>
      <w:r>
        <w:t>7 2 Входные данные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809"/>
      </w:tblGrid>
      <w:tr>
        <w:trPr>
          <w:tblHeader/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Вход</w:t>
            </w:r>
          </w:p>
        </w:tc>
        <w:tc>
          <w:tcPr>
            <w:tcW w:type="dxa" w:w="68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application_id</w:t>
            </w:r>
          </w:p>
        </w:tc>
        <w:tc>
          <w:tcPr>
            <w:tcW w:type="dxa" w:w="68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Backend после выбора или отправки заявки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Компания и параметры заявки</w:t>
            </w:r>
          </w:p>
        </w:tc>
        <w:tc>
          <w:tcPr>
            <w:tcW w:type="dxa" w:w="68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companies, credit_applications, application_details, application_product_details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Финансовая история</w:t>
            </w:r>
          </w:p>
        </w:tc>
        <w:tc>
          <w:tcPr>
            <w:tcW w:type="dxa" w:w="68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bank_transactions, financial_statements, credit_obligations, credit_repayment_history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Каталог и экономика</w:t>
            </w:r>
          </w:p>
        </w:tc>
        <w:tc>
          <w:tcPr>
            <w:tcW w:type="dxa" w:w="68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credit_product_*; macro_indicators; risk_policy_parameters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Подготовка и цена</w:t>
            </w:r>
          </w:p>
        </w:tc>
        <w:tc>
          <w:tcPr>
            <w:tcW w:type="dxa" w:w="68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application_defaults.json; внешний черновик условий или расширенный context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Дата и версия политики</w:t>
            </w:r>
          </w:p>
        </w:tc>
        <w:tc>
          <w:tcPr>
            <w:tcW w:type="dxa" w:w="680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Дата оценки и действующий период экономической политики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В рабочем пути ожидаются SUBMITTED или UNDER_REVIEW, состояние комплектности COMPLETE и подтверждение подачи. Данные анкеты и необходимость уточнений обрабатываются предшествующим контуром. При нехватке финансовой истории результат направляется на внутреннюю ручную проверку с явной причиной.</w:t>
      </w:r>
    </w:p>
    <w:p>
      <w:pPr>
        <w:pStyle w:val="Heading2"/>
      </w:pPr>
      <w:r>
        <w:t>7 3 Формат результата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{</w:t>
        <w:br/>
        <w:t xml:space="preserve">  "application_id": 123,</w:t>
        <w:br/>
        <w:t xml:space="preserve">  "decision": "MANUAL_REVIEW",</w:t>
        <w:br/>
        <w:t xml:space="preserve">  "automatic_recommendation": "REVIEW_REQUIRED",</w:t>
        <w:br/>
        <w:t xml:space="preserve">  "eligibility_status": "ELIGIBLE",</w:t>
        <w:br/>
        <w:t xml:space="preserve">  "offer": {</w:t>
        <w:br/>
        <w:t xml:space="preserve">    "amount": "3000000.00", "term_months": 36,</w:t>
        <w:br/>
        <w:t xml:space="preserve">    "annual_rate_pct": "29.00"</w:t>
        <w:br/>
        <w:t xml:space="preserve">  },</w:t>
        <w:br/>
        <w:t xml:space="preserve">  "risk_assessment": {</w:t>
        <w:br/>
        <w:t xml:space="preserve">    "pd_application_1y": 0.18,</w:t>
        <w:br/>
        <w:t xml:space="preserve">    "pd_application_term": 0.40,</w:t>
        <w:br/>
        <w:t xml:space="preserve">    "pd_limit_1y": 0.1888888889,</w:t>
        <w:br/>
        <w:t xml:space="preserve">    "comparison_horizon_months": 12,</w:t>
        <w:br/>
        <w:t xml:space="preserve">    "passes_pd_limit": true</w:t>
        <w:br/>
        <w:t xml:space="preserve">  }</w:t>
        <w:br/>
        <w:t>}</w:t>
      </w:r>
    </w:p>
    <w:p>
      <w:r>
        <w:t>Пример иллюстрирует формат. Полный ответ дополнительно содержит reasons, policy_version, scoring, график, показатели экономики, audit и при сохранении — persistence. Денежные величины и Decimal-ставки сериализуются строками; вероятности передаются числами в долях единицы. Значение 0.18 означает 18%.</w:t>
      </w:r>
    </w:p>
    <w:p>
      <w:pPr>
        <w:pStyle w:val="Heading2"/>
      </w:pPr>
      <w:r>
        <w:t>7 4 Интерпретация полей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32"/>
        <w:gridCol w:w="5657"/>
      </w:tblGrid>
      <w:tr>
        <w:trPr>
          <w:tblHeader/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Поле</w:t>
            </w:r>
          </w:p>
        </w:tc>
        <w:tc>
          <w:tcPr>
            <w:tcW w:type="dxa" w:w="56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risk_assessment.pd_application_1y</w:t>
            </w:r>
          </w:p>
        </w:tc>
        <w:tc>
          <w:tcPr>
            <w:tcW w:type="dxa" w:w="56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Годовая PD для отображения и сравнения с PD_limit_1y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risk_assessment.pd_application_term</w:t>
            </w:r>
          </w:p>
        </w:tc>
        <w:tc>
          <w:tcPr>
            <w:tcW w:type="dxa" w:w="56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Накопленная PD за договорный срок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offer.amount / annual_rate_pct</w:t>
            </w:r>
          </w:p>
        </w:tc>
        <w:tc>
          <w:tcPr>
            <w:tcW w:type="dxa" w:w="56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Подобранная сумма и соответствующая ей цена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reasons</w:t>
            </w:r>
          </w:p>
        </w:tc>
        <w:tc>
          <w:tcPr>
            <w:tcW w:type="dxa" w:w="56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Список машиночитаемых code и пояснений message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audit</w:t>
            </w:r>
          </w:p>
        </w:tc>
        <w:tc>
          <w:tcPr>
            <w:tcW w:type="dxa" w:w="56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Исходный снимок, версии, источники, ценовой поиск и преобразования признаков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56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scoring_result_id, decision_id и offer_id при сохранении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В scoring_results.pd хранится PD на наибольшем оценённом горизонте; конкретный горизонт включён в feature_snapshot. Для годового сравнения backend использует risk_assessment.pd_application_1y. Значение null означает отсутствие выполненного прогноза. InputError и ConfigurationError обрабатываются backend как ошибки входа и серверной конфигурации соответственно.</w:t>
      </w:r>
    </w:p>
    <w:p>
      <w:pPr>
        <w:pStyle w:val="Heading1"/>
      </w:pPr>
      <w:r>
        <w:t>8 Тестирование и сценарии</w:t>
      </w:r>
    </w:p>
    <w:p>
      <w:pPr>
        <w:pStyle w:val="Heading2"/>
      </w:pPr>
      <w:r>
        <w:t>8 1 Автоматические проверки</w:t>
      </w:r>
    </w:p>
    <w:p>
      <w:r>
        <w:t>Полный прогон включает 41 тест: расчёты платежей и суммы, годовой лимит PD, границы подбора ставки, неизменность фиксированной котировки, подготовку признаков, версии, изоляцию компаний, атомарность, откат при ошибке и идемпотентность. Семантические тесты загружают настоящий CatBoost и проверяют направления реакции финансовых факторов.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python -m unittest discover -s main/tests -v</w:t>
      </w:r>
    </w:p>
    <w:p>
      <w:r>
        <w:t>Интеграционные проверки используют отдельную временную PostgreSQL-базу с именем aurelius_test*. Она содержит актуальную схему и продуктовые справочники. Рабочая business_scoring в тестах не изменяется.</w:t>
      </w:r>
    </w:p>
    <w:p>
      <w:pPr>
        <w:pStyle w:val="Heading2"/>
      </w:pPr>
      <w:r>
        <w:t>8 2 Диагностика всех 30 бизнесов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python -m main.batch --diagnostic --as-of 2026-10-24 ^</w:t>
        <w:br/>
        <w:t xml:space="preserve">  --product R01 --amount 3000000 --term 36</w:t>
      </w:r>
    </w:p>
    <w:p>
      <w:r>
        <w:t>Режим сравнивает финансовые профили на одинаковом гипотетическом запросе R01: 3 млн ₽ на 36 месяцев. Статус ранее созданной заявки не участвует в этом сравнении. Анкета и внутренние проверки считаются завершёнными только в условиях сценария; реальные заявки и их статусы не меняются. При короткой истории применённая аппроксимация записывается в отчёт.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777"/>
      </w:tblGrid>
      <w:tr>
        <w:trPr>
          <w:tblHeader/>
          <w:cantSplit/>
        </w:trPr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Исход сценария</w:t>
            </w:r>
          </w:p>
        </w:tc>
        <w:tc>
          <w:tcPr>
            <w:tcW w:type="dxa" w:w="27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Количество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POSSIBLE_OFFER — найдено предложение</w:t>
            </w:r>
          </w:p>
        </w:tc>
        <w:tc>
          <w:tcPr>
            <w:tcW w:type="dxa" w:w="27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24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В том числе на полные 3 млн ₽</w:t>
            </w:r>
          </w:p>
        </w:tc>
        <w:tc>
          <w:tcPr>
            <w:tcW w:type="dxa" w:w="27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23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Предложение 750 тыс. ₽</w:t>
            </w:r>
          </w:p>
        </w:tc>
        <w:tc>
          <w:tcPr>
            <w:tcW w:type="dxa" w:w="27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REJECT — платёжеспособность</w:t>
            </w:r>
          </w:p>
        </w:tc>
        <w:tc>
          <w:tcPr>
            <w:tcW w:type="dxa" w:w="27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9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UNSCORABLE — требуются модельные сведения</w:t>
            </w:r>
          </w:p>
        </w:tc>
        <w:tc>
          <w:tcPr>
            <w:tcW w:type="dxa" w:w="277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04"/>
        <w:gridCol w:w="1728"/>
        <w:gridCol w:w="1800"/>
        <w:gridCol w:w="2345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Сценарий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Сумма ₽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Ставка %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PD12</w:t>
            </w:r>
          </w:p>
        </w:tc>
        <w:tc>
          <w:tcPr>
            <w:tcW w:type="dxa" w:w="2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8"/>
              </w:rPr>
              <w:t>Лимит PD12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AUR-10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3 000 000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29,0000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18,88%</w:t>
            </w:r>
          </w:p>
        </w:tc>
        <w:tc>
          <w:tcPr>
            <w:tcW w:type="dxa" w:w="2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18,89%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AUR-14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3 000 000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28,0000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16,63%</w:t>
            </w:r>
          </w:p>
        </w:tc>
        <w:tc>
          <w:tcPr>
            <w:tcW w:type="dxa" w:w="2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16,67%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AUR-15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750 000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30,0000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20,10%</w:t>
            </w:r>
          </w:p>
        </w:tc>
        <w:tc>
          <w:tcPr>
            <w:tcW w:type="dxa" w:w="2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21,11%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AUR-20</w:t>
            </w:r>
          </w:p>
        </w:tc>
        <w:tc>
          <w:tcPr>
            <w:tcW w:type="dxa" w:w="2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3 000 000</w:t>
            </w:r>
          </w:p>
        </w:tc>
        <w:tc>
          <w:tcPr>
            <w:tcW w:type="dxa" w:w="172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25,5000</w:t>
            </w:r>
          </w:p>
        </w:tc>
        <w:tc>
          <w:tcPr>
            <w:tcW w:type="dxa" w:w="180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9,26%</w:t>
            </w:r>
          </w:p>
        </w:tc>
        <w:tc>
          <w:tcPr>
            <w:tcW w:type="dxa" w:w="234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11,11%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r>
        <w:t>У обычных контрольных профилей предложения преимущественно находятся в диапазоне 29–29,5% годовых. Сценарии AUR-11, AUR-13, AUR-17 и AUR-19 не проходят проверку платёжеспособности. Для AUR-07 требуется ОКВЭД, для AUR-08 — дата регистрации. Итоговый банковский статус предложения остаётся MANUAL_REVIEW.</w:t>
      </w:r>
    </w:p>
    <w:p>
      <w:pPr>
        <w:pStyle w:val="Heading2"/>
      </w:pPr>
      <w:r>
        <w:t>8 3 Файлы отчёта</w:t>
      </w:r>
    </w:p>
    <w:p>
      <w:r>
        <w:t>Результаты находятся в main/reports/diagnostic.csv и diagnostic.json. В таблице requested_pd_12m относится к исходной сумме и базовой цене; рядом записаны requested_base_rate_pct и requested_base_pd_limit_12m. Поля pd_12m, pd_limit_12m и annual_rate_pct относятся к найденным условиям. Отдельно показаны финансовые наблюдения, модельный долговой коэффициент и преобразования диапазонов.</w:t>
      </w:r>
    </w:p>
    <w:p>
      <w:r>
        <w:t>Для рабочего пакетного пути используется python -m main.batch: выбирается последняя SUBMITTED/UNDER_REVIEW заявка каждой компании. Результат NO_ACTIVE_APPLICATION означает отсутствие подходящей отправленной заявки. Оба пакетных режима выполняют чтение БД и сохраняют только локальные отчёты.</w:t>
      </w:r>
    </w:p>
    <w:p>
      <w:pPr>
        <w:pStyle w:val="Heading1"/>
      </w:pPr>
      <w:r>
        <w:t>Приложение Источники и состав поставки</w:t>
      </w:r>
    </w:p>
    <w:p>
      <w:pPr>
        <w:pStyle w:val="Heading2"/>
      </w:pPr>
      <w:r>
        <w:t>А Основные модули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5081"/>
      </w:tblGrid>
      <w:tr>
        <w:trPr>
          <w:tblHeader/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7"/>
              </w:rPr>
              <w:t>Путь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  <w:shd w:fill="E9ECEF"/>
          </w:tcPr>
          <w:p>
            <w:pPr>
              <w:keepNext/>
              <w:spacing w:after="40" w:before="40" w:line="252" w:lineRule="auto"/>
            </w:pPr>
            <w:r>
              <w:rPr>
                <w:rFonts w:ascii="Aptos" w:hAnsi="Aptos"/>
                <w:b/>
                <w:color w:val="000000"/>
                <w:sz w:val="17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main/pipeline.py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Оркестрация этапов 4–6 и CLI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main/database.py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Получение снимка и атомарное сохранение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main/application_service.py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Серверная подготовка входа по application_id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main/ml_scoring/feature_builder.py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Финансовые преобразования и происхождение признаков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main/ml_scoring/predictor.py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Версионированная загрузка CatBoost и PD-кривая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main/decision_engine/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Правила допуска, экономическая политика и настройки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main/credit_offer/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Графики, платёжеспособность и ограниченное ценообразование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main/batch.py и main/diagnostics.py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Пакетный рабочий и диагностический режимы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main/tests/</w:t>
            </w:r>
          </w:p>
        </w:tc>
        <w:tc>
          <w:tcPr>
            <w:tcW w:type="dxa" w:w="50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</w:tcBorders>
          </w:tcPr>
          <w:p>
            <w:pPr>
              <w:spacing w:after="40" w:before="40" w:line="252" w:lineRule="auto"/>
            </w:pPr>
            <w:r>
              <w:rPr>
                <w:rFonts w:ascii="Aptos" w:hAnsi="Aptos"/>
                <w:b w:val="0"/>
                <w:color w:val="000000"/>
                <w:sz w:val="17"/>
              </w:rPr>
              <w:t>Модульные, семантические и PostgreSQL-проверки</w:t>
            </w:r>
          </w:p>
        </w:tc>
      </w:tr>
    </w:tbl>
    <w:p>
      <w:pPr>
        <w:spacing w:after="40" w:before="0" w:line="60" w:lineRule="exact"/>
      </w:pPr>
      <w:r>
        <w:rPr>
          <w:sz w:val="2"/>
        </w:rPr>
      </w:r>
    </w:p>
    <w:p>
      <w:pPr>
        <w:pStyle w:val="Heading2"/>
      </w:pPr>
      <w:r>
        <w:t>Б Артефакты и воспроизводимость</w:t>
      </w:r>
    </w:p>
    <w:p>
      <w:r>
        <w:t>Для backend передаётся весь пакет main из Git вместе с ml_scoring/model/best_model.cbm, features.json и best_config.json. Модельная конфигурация содержит SHA256; validation_report.json и test_report.json фиксируют сравнительные метрики. Локальные отчёты main/reports исключены из Git.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Модель: dt_monotone_v1</w:t>
        <w:br/>
        <w:t>SHA256: 1e729ce490ba9ce67b69abae6730fed469b5e13db7107348634d46cd2859472b</w:t>
      </w:r>
    </w:p>
    <w:p>
      <w:r>
        <w:t>Исследовательские артефакты: models/experiments/survival_v3_comparison, survival_v3_optuna_stage2 и survival_v4_monotone. Описание API находится в main/INTEGRATION.md; общая инструкция — main/README.md. Параметры экономики и источники — main/decision_engine/baseline_20261024.json и BASELINE.md.</w:t>
      </w:r>
    </w:p>
    <w:p>
      <w:pPr>
        <w:pStyle w:val="Heading2"/>
      </w:pPr>
      <w:r>
        <w:t>В Внешние источники</w:t>
      </w:r>
    </w:p>
    <w:p>
      <w:r>
        <w:t>Банк России. Решение от 24.07.2026 о ключевой ставке 14% с 27.07.2026; решение от 23.10.2026 о сохранении ставки.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https://www.cbr.ru/press/pr/?file=24072026_133000key.htm</w:t>
        <w:br/>
        <w:t>https://www.cbr.ru/press/pr/?file=23102026_133000key.htm</w:t>
      </w:r>
    </w:p>
    <w:p>
      <w:r>
        <w:t>Bank of England. Implementation of the Basel 3.1 standards, раздел 4.236–4.237: внешний ориентир LGD 40% для senior unsecured non-financial corporates. В политике MVP используется 45% с явно заданным буфером 5 п.п.</w:t>
      </w:r>
    </w:p>
    <w:p>
      <w:r>
        <w:t>CatBoost. Описание monotone_constraints и поддержки CPU в документации параметров обучения.</w:t>
      </w:r>
    </w:p>
    <w:p>
      <w:pPr>
        <w:keepLines/>
        <w:spacing w:line="240" w:lineRule="auto" w:before="80" w:after="160"/>
        <w:ind w:left="144"/>
        <w:shd w:fill="F4F5F6"/>
      </w:pPr>
      <w:r>
        <w:rPr>
          <w:rFonts w:ascii="Consolas" w:hAnsi="Consolas"/>
          <w:sz w:val="17"/>
        </w:rPr>
        <w:t>https://catboost.ai/docs/en/references/training-parameters/common</w:t>
      </w:r>
    </w:p>
    <w:sectPr w:rsidR="00FC693F" w:rsidRPr="0006063C" w:rsidSect="00034616">
      <w:footerReference w:type="default" r:id="rId9"/>
      <w:pgSz w:w="12240" w:h="15840"/>
      <w:pgMar w:top="1134" w:right="1247" w:bottom="1077" w:left="130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AURELIUS  |  Техническая документация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Aptos" w:hAnsi="Aptos" w:eastAsia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outlineLvl w:val="0"/>
    </w:pPr>
    <w:rPr>
      <w:rFonts w:ascii="Aptos" w:hAnsi="Aptos" w:eastAsia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="Aptos" w:hAnsi="Aptos" w:eastAsia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64" w:lineRule="auto"/>
      <w:outlineLvl w:val="2"/>
    </w:pPr>
    <w:rPr>
      <w:rFonts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64" w:lineRule="auto"/>
      <w:contextualSpacing/>
    </w:pPr>
    <w:rPr>
      <w:rFonts w:ascii="Aptos" w:hAnsi="Aptos" w:eastAsia="Apto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4" w:lineRule="auto"/>
    </w:pPr>
    <w:rPr>
      <w:rFonts w:ascii="Aptos" w:hAnsi="Aptos" w:eastAsia="Aptos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AURELIUS Техническая документация подсистемы кредитного скоринга</dc:title>
  <dc:subject>Этапы 4–6 База данных Модели Кредитная политика Интеграция</dc:subject>
  <dc:creator>AURELIUS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>3</cp:version>
</cp:coreProperties>
</file>