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ea orizzontale" id="1" name="image1.png"/>
            <a:graphic>
              <a:graphicData uri="http://schemas.openxmlformats.org/drawingml/2006/picture">
                <pic:pic>
                  <pic:nvPicPr>
                    <pic:cNvPr descr="linea orizzontal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Hosting iperquantistico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09/04/2023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Equino iperquantico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Azienda Losca p.a.p.e.r.a.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Panoramica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Sfruttando la velocità a cui vengono sparate le particelle in un acceleratore di particelle è possibile trasferire i dati in maniera quasi istantanea. I dati vengono codificati sfruttando il numero di quark presenti in un barione.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Obiettivi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Conquistare il mondo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Trasferire i dati velocemente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Abbandonare l’uso di obsoleti cavi di rame e fibra ottica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Favorire l’impiego di un più comodo acceleratore di particelle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Specifiche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L’impianto per funzionare richiede solamente 120MW di energia elettrica e lo spazio di un anello della circonferenza di 27Km.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ea orizzontale" id="3" name="image1.png"/>
          <a:graphic>
            <a:graphicData uri="http://schemas.openxmlformats.org/drawingml/2006/picture">
              <pic:pic>
                <pic:nvPicPr>
                  <pic:cNvPr descr="linea orizzontal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it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