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F1DA54" w14:textId="77777777" w:rsidR="00E90611" w:rsidRDefault="00000000">
      <w:pPr>
        <w:spacing w:after="40"/>
        <w:jc w:val="center"/>
      </w:pPr>
      <w:r>
        <w:rPr>
          <w:b/>
          <w:color w:val="0F172A"/>
          <w:sz w:val="32"/>
        </w:rPr>
        <w:t>SDG ALIGNMENT REPORT</w:t>
      </w:r>
    </w:p>
    <w:p w14:paraId="495199E3" w14:textId="77777777" w:rsidR="00E90611" w:rsidRDefault="00000000">
      <w:pPr>
        <w:spacing w:after="280"/>
        <w:jc w:val="center"/>
      </w:pPr>
      <w:r>
        <w:rPr>
          <w:i/>
          <w:color w:val="475569"/>
          <w:sz w:val="22"/>
        </w:rPr>
        <w:t>Machine Learning Activity on Sustainable Development Goals</w:t>
      </w:r>
    </w:p>
    <w:p w14:paraId="5A897D58" w14:textId="77777777" w:rsidR="00E90611" w:rsidRDefault="00000000">
      <w:pPr>
        <w:spacing w:before="80" w:after="40"/>
      </w:pPr>
      <w:r>
        <w:rPr>
          <w:b/>
          <w:color w:val="0F172A"/>
          <w:sz w:val="22"/>
        </w:rPr>
        <w:t>Project Title:</w:t>
      </w:r>
    </w:p>
    <w:p w14:paraId="679A77AD" w14:textId="77777777" w:rsidR="00E90611" w:rsidRDefault="00000000">
      <w:pPr>
        <w:spacing w:after="40"/>
      </w:pPr>
      <w:r>
        <w:t>Machine Learning Virtual Lab: An Open-Access, Client-Side WebAssembly Platform for Democratizing AI/ML Technical Education and Sustainable Computing</w:t>
      </w:r>
    </w:p>
    <w:p w14:paraId="1AB91421" w14:textId="77777777" w:rsidR="00320DCA" w:rsidRDefault="00320DCA">
      <w:pPr>
        <w:spacing w:before="80" w:after="60"/>
        <w:rPr>
          <w:i/>
          <w:color w:val="555555"/>
          <w:sz w:val="18"/>
        </w:rPr>
      </w:pPr>
    </w:p>
    <w:p w14:paraId="682D674B" w14:textId="2C56D86A" w:rsidR="00E90611" w:rsidRDefault="00000000">
      <w:pPr>
        <w:spacing w:before="80" w:after="60"/>
      </w:pPr>
      <w:r>
        <w:rPr>
          <w:b/>
          <w:color w:val="0F172A"/>
          <w:sz w:val="22"/>
        </w:rPr>
        <w:t>Project Summary</w:t>
      </w:r>
    </w:p>
    <w:p w14:paraId="30E08ED3" w14:textId="77777777" w:rsidR="00E90611" w:rsidRDefault="00000000">
      <w:pPr>
        <w:spacing w:after="240"/>
      </w:pPr>
      <w:r>
        <w:rPr>
          <w:sz w:val="20"/>
        </w:rPr>
        <w:t>Traditional machine learning laboratory coursework often suffers from high friction before learning even begins—complex local Python environment setups, operating system and library version conflicts, high computational hardware barriers, and static PDF lab manuals that decouple mathematical theory from live code execution. This project designs and implements the ML Virtual Lab, an interactive, browser-native virtual laboratory that executes full CPython scientific stacks (NumPy, SciPy, scikit-learn, Matplotlib) entirely client-side using WebAssembly (Pyodide). Covering all 10 University of Mumbai ML experiments across 3 Lab Outcomes (LO1–LO3), the platform eliminates all local installation requirements, provides an integrated Monaco code editor with real-time graphical rendering, and embeds auto-graded pre/post-assessments alongside algorithmic derivations, delivering an accessible, zero-cost, and environmentally sustainable engineering education ecosystem.</w:t>
      </w:r>
    </w:p>
    <w:p w14:paraId="31D401AE" w14:textId="77777777" w:rsidR="00E90611" w:rsidRDefault="00000000">
      <w:pPr>
        <w:spacing w:before="80" w:after="80"/>
      </w:pPr>
      <w:r>
        <w:rPr>
          <w:b/>
          <w:color w:val="0F172A"/>
          <w:sz w:val="22"/>
        </w:rPr>
        <w:t>SDG Mapping</w:t>
      </w:r>
    </w:p>
    <w:tbl>
      <w:tblPr>
        <w:tblW w:w="0" w:type="auto"/>
        <w:jc w:val="center"/>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4A0" w:firstRow="1" w:lastRow="0" w:firstColumn="1" w:lastColumn="0" w:noHBand="0" w:noVBand="1"/>
      </w:tblPr>
      <w:tblGrid>
        <w:gridCol w:w="2160"/>
        <w:gridCol w:w="3168"/>
        <w:gridCol w:w="4608"/>
      </w:tblGrid>
      <w:tr w:rsidR="00E90611" w14:paraId="1198F978" w14:textId="77777777">
        <w:trPr>
          <w:jc w:val="center"/>
        </w:trPr>
        <w:tc>
          <w:tcPr>
            <w:tcW w:w="2160" w:type="dxa"/>
            <w:shd w:val="clear" w:color="auto" w:fill="1F4E79"/>
            <w:tcMar>
              <w:top w:w="120" w:type="dxa"/>
              <w:left w:w="140" w:type="dxa"/>
              <w:bottom w:w="120" w:type="dxa"/>
              <w:right w:w="140" w:type="dxa"/>
            </w:tcMar>
          </w:tcPr>
          <w:p w14:paraId="2D513F90" w14:textId="77777777" w:rsidR="00E90611" w:rsidRDefault="00000000">
            <w:pPr>
              <w:spacing w:after="0"/>
            </w:pPr>
            <w:r>
              <w:rPr>
                <w:b/>
                <w:color w:val="FFFFFF"/>
                <w:sz w:val="20"/>
              </w:rPr>
              <w:t>SDG</w:t>
            </w:r>
          </w:p>
        </w:tc>
        <w:tc>
          <w:tcPr>
            <w:tcW w:w="3168" w:type="dxa"/>
            <w:shd w:val="clear" w:color="auto" w:fill="1F4E79"/>
            <w:tcMar>
              <w:top w:w="120" w:type="dxa"/>
              <w:left w:w="140" w:type="dxa"/>
              <w:bottom w:w="120" w:type="dxa"/>
              <w:right w:w="140" w:type="dxa"/>
            </w:tcMar>
          </w:tcPr>
          <w:p w14:paraId="21003881" w14:textId="77777777" w:rsidR="00E90611" w:rsidRDefault="00000000">
            <w:pPr>
              <w:spacing w:after="0"/>
            </w:pPr>
            <w:r>
              <w:rPr>
                <w:b/>
                <w:color w:val="FFFFFF"/>
                <w:sz w:val="20"/>
              </w:rPr>
              <w:t>Target</w:t>
            </w:r>
          </w:p>
        </w:tc>
        <w:tc>
          <w:tcPr>
            <w:tcW w:w="4608" w:type="dxa"/>
            <w:shd w:val="clear" w:color="auto" w:fill="1F4E79"/>
            <w:tcMar>
              <w:top w:w="120" w:type="dxa"/>
              <w:left w:w="140" w:type="dxa"/>
              <w:bottom w:w="120" w:type="dxa"/>
              <w:right w:w="140" w:type="dxa"/>
            </w:tcMar>
          </w:tcPr>
          <w:p w14:paraId="20846164" w14:textId="77777777" w:rsidR="00E90611" w:rsidRDefault="00000000">
            <w:pPr>
              <w:spacing w:after="0"/>
            </w:pPr>
            <w:r>
              <w:rPr>
                <w:b/>
                <w:color w:val="FFFFFF"/>
                <w:sz w:val="20"/>
              </w:rPr>
              <w:t>Project Contribution</w:t>
            </w:r>
          </w:p>
        </w:tc>
      </w:tr>
      <w:tr w:rsidR="00E90611" w14:paraId="3662B23D" w14:textId="77777777">
        <w:trPr>
          <w:jc w:val="center"/>
        </w:trPr>
        <w:tc>
          <w:tcPr>
            <w:tcW w:w="2160" w:type="dxa"/>
            <w:shd w:val="clear" w:color="auto" w:fill="F8FAFC"/>
            <w:tcMar>
              <w:top w:w="100" w:type="dxa"/>
              <w:left w:w="130" w:type="dxa"/>
              <w:bottom w:w="100" w:type="dxa"/>
              <w:right w:w="130" w:type="dxa"/>
            </w:tcMar>
          </w:tcPr>
          <w:p w14:paraId="34A736A7" w14:textId="77777777" w:rsidR="00E90611" w:rsidRDefault="00000000">
            <w:pPr>
              <w:spacing w:after="0" w:line="269" w:lineRule="auto"/>
            </w:pPr>
            <w:r>
              <w:rPr>
                <w:b/>
                <w:color w:val="1E293B"/>
                <w:sz w:val="19"/>
              </w:rPr>
              <w:t>SDG 4</w:t>
            </w:r>
            <w:r>
              <w:rPr>
                <w:b/>
                <w:color w:val="1E293B"/>
                <w:sz w:val="19"/>
              </w:rPr>
              <w:br/>
              <w:t>Quality Education</w:t>
            </w:r>
          </w:p>
        </w:tc>
        <w:tc>
          <w:tcPr>
            <w:tcW w:w="3168" w:type="dxa"/>
            <w:shd w:val="clear" w:color="auto" w:fill="F8FAFC"/>
            <w:tcMar>
              <w:top w:w="100" w:type="dxa"/>
              <w:left w:w="130" w:type="dxa"/>
              <w:bottom w:w="100" w:type="dxa"/>
              <w:right w:w="130" w:type="dxa"/>
            </w:tcMar>
          </w:tcPr>
          <w:p w14:paraId="0DE87824" w14:textId="77777777" w:rsidR="00E90611" w:rsidRDefault="00000000">
            <w:pPr>
              <w:spacing w:after="0" w:line="269" w:lineRule="auto"/>
            </w:pPr>
            <w:r>
              <w:rPr>
                <w:color w:val="1E293B"/>
                <w:sz w:val="19"/>
              </w:rPr>
              <w:t>Target 4.4: Increase number of youth &amp; adults with relevant technical skills for employment and entrepreneurship.</w:t>
            </w:r>
            <w:r>
              <w:rPr>
                <w:color w:val="1E293B"/>
                <w:sz w:val="19"/>
              </w:rPr>
              <w:br/>
            </w:r>
            <w:r>
              <w:rPr>
                <w:color w:val="1E293B"/>
                <w:sz w:val="19"/>
              </w:rPr>
              <w:br/>
              <w:t>Target 4.5: Eliminate disparities in technical education and ensure equitable access to vocational training.</w:t>
            </w:r>
          </w:p>
        </w:tc>
        <w:tc>
          <w:tcPr>
            <w:tcW w:w="4608" w:type="dxa"/>
            <w:shd w:val="clear" w:color="auto" w:fill="F8FAFC"/>
            <w:tcMar>
              <w:top w:w="100" w:type="dxa"/>
              <w:left w:w="130" w:type="dxa"/>
              <w:bottom w:w="100" w:type="dxa"/>
              <w:right w:w="130" w:type="dxa"/>
            </w:tcMar>
          </w:tcPr>
          <w:p w14:paraId="2A55BDE5" w14:textId="77777777" w:rsidR="00E90611" w:rsidRDefault="00000000">
            <w:pPr>
              <w:spacing w:after="0" w:line="269" w:lineRule="auto"/>
            </w:pPr>
            <w:r>
              <w:rPr>
                <w:color w:val="1E293B"/>
                <w:sz w:val="19"/>
              </w:rPr>
              <w:t>Democratizes access to high-quality machine learning education by removing all software/hardware installation barriers. Delivers an end-to-end 8-section pedagogical workflow (Aim, Theory, Pretest, Procedure, Simulation, Posttest, Further Readings, Feedback) across 10 core ML algorithms (Regression, SVM, Random Forest, AdaBoost, MST Clustering, EM/GMM, and PCA) with instant feedback.</w:t>
            </w:r>
          </w:p>
        </w:tc>
      </w:tr>
      <w:tr w:rsidR="00E90611" w14:paraId="61F735CF" w14:textId="77777777">
        <w:trPr>
          <w:jc w:val="center"/>
        </w:trPr>
        <w:tc>
          <w:tcPr>
            <w:tcW w:w="2160" w:type="dxa"/>
            <w:shd w:val="clear" w:color="auto" w:fill="FFFFFF"/>
            <w:tcMar>
              <w:top w:w="100" w:type="dxa"/>
              <w:left w:w="130" w:type="dxa"/>
              <w:bottom w:w="100" w:type="dxa"/>
              <w:right w:w="130" w:type="dxa"/>
            </w:tcMar>
          </w:tcPr>
          <w:p w14:paraId="035CA2E8" w14:textId="77777777" w:rsidR="00E90611" w:rsidRDefault="00000000">
            <w:pPr>
              <w:spacing w:after="0" w:line="269" w:lineRule="auto"/>
            </w:pPr>
            <w:r>
              <w:rPr>
                <w:b/>
                <w:color w:val="1E293B"/>
                <w:sz w:val="19"/>
              </w:rPr>
              <w:t>SDG 9</w:t>
            </w:r>
            <w:r>
              <w:rPr>
                <w:b/>
                <w:color w:val="1E293B"/>
                <w:sz w:val="19"/>
              </w:rPr>
              <w:br/>
              <w:t>Industry, Innovation</w:t>
            </w:r>
            <w:r>
              <w:rPr>
                <w:b/>
                <w:color w:val="1E293B"/>
                <w:sz w:val="19"/>
              </w:rPr>
              <w:br/>
              <w:t>&amp; Infrastructure</w:t>
            </w:r>
          </w:p>
        </w:tc>
        <w:tc>
          <w:tcPr>
            <w:tcW w:w="3168" w:type="dxa"/>
            <w:shd w:val="clear" w:color="auto" w:fill="FFFFFF"/>
            <w:tcMar>
              <w:top w:w="100" w:type="dxa"/>
              <w:left w:w="130" w:type="dxa"/>
              <w:bottom w:w="100" w:type="dxa"/>
              <w:right w:w="130" w:type="dxa"/>
            </w:tcMar>
          </w:tcPr>
          <w:p w14:paraId="13E26278" w14:textId="77777777" w:rsidR="00E90611" w:rsidRDefault="00000000">
            <w:pPr>
              <w:spacing w:after="0" w:line="269" w:lineRule="auto"/>
            </w:pPr>
            <w:r>
              <w:rPr>
                <w:color w:val="1E293B"/>
                <w:sz w:val="19"/>
              </w:rPr>
              <w:t>Target 9.5: Enhance scientific research, upgrade technological capabilities of industrial sectors, and foster innovation.</w:t>
            </w:r>
          </w:p>
        </w:tc>
        <w:tc>
          <w:tcPr>
            <w:tcW w:w="4608" w:type="dxa"/>
            <w:shd w:val="clear" w:color="auto" w:fill="FFFFFF"/>
            <w:tcMar>
              <w:top w:w="100" w:type="dxa"/>
              <w:left w:w="130" w:type="dxa"/>
              <w:bottom w:w="100" w:type="dxa"/>
              <w:right w:w="130" w:type="dxa"/>
            </w:tcMar>
          </w:tcPr>
          <w:p w14:paraId="6EE8544E" w14:textId="77777777" w:rsidR="00E90611" w:rsidRDefault="00000000">
            <w:pPr>
              <w:spacing w:after="0" w:line="269" w:lineRule="auto"/>
            </w:pPr>
            <w:r>
              <w:rPr>
                <w:color w:val="1E293B"/>
                <w:sz w:val="19"/>
              </w:rPr>
              <w:t>Pioneers browser-native scientific computing by integrating CPython and WebAssembly (Pyodide) directly inside modern web architectures. Equips engineering students with industry-standard practical competencies in NumPy, scikit-learn, and Matplotlib.</w:t>
            </w:r>
          </w:p>
        </w:tc>
      </w:tr>
      <w:tr w:rsidR="00E90611" w14:paraId="483806B6" w14:textId="77777777">
        <w:trPr>
          <w:jc w:val="center"/>
        </w:trPr>
        <w:tc>
          <w:tcPr>
            <w:tcW w:w="2160" w:type="dxa"/>
            <w:shd w:val="clear" w:color="auto" w:fill="F8FAFC"/>
            <w:tcMar>
              <w:top w:w="100" w:type="dxa"/>
              <w:left w:w="130" w:type="dxa"/>
              <w:bottom w:w="100" w:type="dxa"/>
              <w:right w:w="130" w:type="dxa"/>
            </w:tcMar>
          </w:tcPr>
          <w:p w14:paraId="63D8419B" w14:textId="77777777" w:rsidR="00E90611" w:rsidRDefault="00000000">
            <w:pPr>
              <w:spacing w:after="0" w:line="269" w:lineRule="auto"/>
            </w:pPr>
            <w:r>
              <w:rPr>
                <w:b/>
                <w:color w:val="1E293B"/>
                <w:sz w:val="19"/>
              </w:rPr>
              <w:t>SDG 10</w:t>
            </w:r>
            <w:r>
              <w:rPr>
                <w:b/>
                <w:color w:val="1E293B"/>
                <w:sz w:val="19"/>
              </w:rPr>
              <w:br/>
              <w:t>Reduced Inequalities</w:t>
            </w:r>
          </w:p>
        </w:tc>
        <w:tc>
          <w:tcPr>
            <w:tcW w:w="3168" w:type="dxa"/>
            <w:shd w:val="clear" w:color="auto" w:fill="F8FAFC"/>
            <w:tcMar>
              <w:top w:w="100" w:type="dxa"/>
              <w:left w:w="130" w:type="dxa"/>
              <w:bottom w:w="100" w:type="dxa"/>
              <w:right w:w="130" w:type="dxa"/>
            </w:tcMar>
          </w:tcPr>
          <w:p w14:paraId="7A59B75D" w14:textId="77777777" w:rsidR="00E90611" w:rsidRDefault="00000000">
            <w:pPr>
              <w:spacing w:after="0" w:line="269" w:lineRule="auto"/>
            </w:pPr>
            <w:r>
              <w:rPr>
                <w:color w:val="1E293B"/>
                <w:sz w:val="19"/>
              </w:rPr>
              <w:t>Target 10.2 &amp; 10.3: Empower socio-economic inclusion of all learners and ensure equal opportunity by removing barriers to technical access.</w:t>
            </w:r>
          </w:p>
        </w:tc>
        <w:tc>
          <w:tcPr>
            <w:tcW w:w="4608" w:type="dxa"/>
            <w:shd w:val="clear" w:color="auto" w:fill="F8FAFC"/>
            <w:tcMar>
              <w:top w:w="100" w:type="dxa"/>
              <w:left w:w="130" w:type="dxa"/>
              <w:bottom w:w="100" w:type="dxa"/>
              <w:right w:w="130" w:type="dxa"/>
            </w:tcMar>
          </w:tcPr>
          <w:p w14:paraId="5EDC65BE" w14:textId="77777777" w:rsidR="00E90611" w:rsidRDefault="00000000">
            <w:pPr>
              <w:spacing w:after="0" w:line="269" w:lineRule="auto"/>
            </w:pPr>
            <w:r>
              <w:rPr>
                <w:color w:val="1E293B"/>
                <w:sz w:val="19"/>
              </w:rPr>
              <w:t>Eliminates the 'digital hardware divide' in AI education. Students can execute complex machine learning algorithms seamlessly on low-cost laptops, Chromebooks, and tablets without requiring high-end GPUs or paid cloud subscription tiers.</w:t>
            </w:r>
          </w:p>
        </w:tc>
      </w:tr>
      <w:tr w:rsidR="00E90611" w14:paraId="3D9D5925" w14:textId="77777777">
        <w:trPr>
          <w:jc w:val="center"/>
        </w:trPr>
        <w:tc>
          <w:tcPr>
            <w:tcW w:w="2160" w:type="dxa"/>
            <w:shd w:val="clear" w:color="auto" w:fill="FFFFFF"/>
            <w:tcMar>
              <w:top w:w="100" w:type="dxa"/>
              <w:left w:w="130" w:type="dxa"/>
              <w:bottom w:w="100" w:type="dxa"/>
              <w:right w:w="130" w:type="dxa"/>
            </w:tcMar>
          </w:tcPr>
          <w:p w14:paraId="2866420B" w14:textId="77777777" w:rsidR="00E90611" w:rsidRDefault="00000000">
            <w:pPr>
              <w:spacing w:after="0" w:line="269" w:lineRule="auto"/>
            </w:pPr>
            <w:r>
              <w:rPr>
                <w:b/>
                <w:color w:val="1E293B"/>
                <w:sz w:val="19"/>
              </w:rPr>
              <w:t>SDG 12 &amp; 13</w:t>
            </w:r>
            <w:r>
              <w:rPr>
                <w:b/>
                <w:color w:val="1E293B"/>
                <w:sz w:val="19"/>
              </w:rPr>
              <w:br/>
              <w:t>Responsible Consumption</w:t>
            </w:r>
            <w:r>
              <w:rPr>
                <w:b/>
                <w:color w:val="1E293B"/>
                <w:sz w:val="19"/>
              </w:rPr>
              <w:br/>
              <w:t>&amp; Climate Action</w:t>
            </w:r>
          </w:p>
        </w:tc>
        <w:tc>
          <w:tcPr>
            <w:tcW w:w="3168" w:type="dxa"/>
            <w:shd w:val="clear" w:color="auto" w:fill="FFFFFF"/>
            <w:tcMar>
              <w:top w:w="100" w:type="dxa"/>
              <w:left w:w="130" w:type="dxa"/>
              <w:bottom w:w="100" w:type="dxa"/>
              <w:right w:w="130" w:type="dxa"/>
            </w:tcMar>
          </w:tcPr>
          <w:p w14:paraId="7600763C" w14:textId="77777777" w:rsidR="00E90611" w:rsidRDefault="00000000">
            <w:pPr>
              <w:spacing w:after="0" w:line="269" w:lineRule="auto"/>
            </w:pPr>
            <w:r>
              <w:rPr>
                <w:color w:val="1E293B"/>
                <w:sz w:val="19"/>
              </w:rPr>
              <w:t>Target 12.2 &amp; 13.3: Sustainable resource management, energy efficiency, and institutional capacity on climate impact reduction.</w:t>
            </w:r>
          </w:p>
        </w:tc>
        <w:tc>
          <w:tcPr>
            <w:tcW w:w="4608" w:type="dxa"/>
            <w:shd w:val="clear" w:color="auto" w:fill="FFFFFF"/>
            <w:tcMar>
              <w:top w:w="100" w:type="dxa"/>
              <w:left w:w="130" w:type="dxa"/>
              <w:bottom w:w="100" w:type="dxa"/>
              <w:right w:w="130" w:type="dxa"/>
            </w:tcMar>
          </w:tcPr>
          <w:p w14:paraId="0AC4DEA0" w14:textId="77777777" w:rsidR="00E90611" w:rsidRDefault="00000000">
            <w:pPr>
              <w:spacing w:after="0" w:line="269" w:lineRule="auto"/>
            </w:pPr>
            <w:r>
              <w:rPr>
                <w:color w:val="1E293B"/>
                <w:sz w:val="19"/>
              </w:rPr>
              <w:t>Implements a decentralized, green computing architecture where code executes entirely on the student's browser sandbox rather than drawing continuous compute power from centralized cloud GPU/CPU servers, drastically reducing per-student carbon footprint and idle emissions.</w:t>
            </w:r>
          </w:p>
        </w:tc>
      </w:tr>
    </w:tbl>
    <w:p w14:paraId="5871C30C" w14:textId="77777777" w:rsidR="00E90611" w:rsidRDefault="00E90611"/>
    <w:p w14:paraId="1F547EB3" w14:textId="77777777" w:rsidR="00E90611" w:rsidRDefault="00000000">
      <w:pPr>
        <w:spacing w:before="160" w:after="80"/>
      </w:pPr>
      <w:r>
        <w:rPr>
          <w:b/>
          <w:color w:val="0F172A"/>
          <w:sz w:val="22"/>
        </w:rPr>
        <w:lastRenderedPageBreak/>
        <w:t>Measurable Impact (from this project's own results)</w:t>
      </w:r>
    </w:p>
    <w:p w14:paraId="078D5C9E" w14:textId="77777777" w:rsidR="00E90611" w:rsidRDefault="00000000">
      <w:pPr>
        <w:pStyle w:val="ListBullet"/>
        <w:spacing w:before="40" w:after="60"/>
      </w:pPr>
      <w:r>
        <w:rPr>
          <w:b/>
          <w:color w:val="0F172A"/>
          <w:sz w:val="19"/>
        </w:rPr>
        <w:t xml:space="preserve">10 Complete Curriculum Experiments (100% Syllabus Coverage): </w:t>
      </w:r>
      <w:r>
        <w:rPr>
          <w:color w:val="334155"/>
          <w:sz w:val="19"/>
        </w:rPr>
        <w:t>Fully operationalized all 10 University of Mumbai ML experiments spanning Linear/Multiple/Multivariate Regression, Logistic Regression, Random Forest, AdaBoost, SVM, MST Divisive Clustering, EM/Gaussian Mixture Models, and PCA—mapped directly to Lab Outcomes LO1–LO3.</w:t>
      </w:r>
    </w:p>
    <w:p w14:paraId="5526C6BB" w14:textId="77777777" w:rsidR="00E90611" w:rsidRDefault="00000000">
      <w:pPr>
        <w:pStyle w:val="ListBullet"/>
        <w:spacing w:before="40" w:after="60"/>
      </w:pPr>
      <w:r>
        <w:rPr>
          <w:b/>
          <w:color w:val="0F172A"/>
          <w:sz w:val="19"/>
        </w:rPr>
        <w:t xml:space="preserve">Zero Installation Overhead &amp; 100% Client-Side Autonomy: </w:t>
      </w:r>
      <w:r>
        <w:rPr>
          <w:color w:val="334155"/>
          <w:sz w:val="19"/>
        </w:rPr>
        <w:t>Achieved complete elimination of environment setup friction (pip/conda/CUDA version conflicts), executing full CPython 3.12+ scientific stacks locally inside the browser with 0 ms server roundtrip latency and full offline operation after initial runtime caching.</w:t>
      </w:r>
    </w:p>
    <w:p w14:paraId="4BA2C9A7" w14:textId="77777777" w:rsidR="00E90611" w:rsidRDefault="00000000">
      <w:pPr>
        <w:pStyle w:val="ListBullet"/>
        <w:spacing w:before="40" w:after="60"/>
      </w:pPr>
      <w:r>
        <w:rPr>
          <w:b/>
          <w:color w:val="0F172A"/>
          <w:sz w:val="19"/>
        </w:rPr>
        <w:t xml:space="preserve">Rigorous Pedagogical &amp; Algorithmic Verification: </w:t>
      </w:r>
      <w:r>
        <w:rPr>
          <w:color w:val="334155"/>
          <w:sz w:val="19"/>
        </w:rPr>
        <w:t>Engineered 20 verified Python implementations (10 starter scaffolds with TODO markers + 10 complete working solutions) validated against a 16-point automated behavioral verification suite and Playwright end-to-end testing, ensuring 100% accurate line-numbered error tracebacks and automated figure generation.</w:t>
      </w:r>
    </w:p>
    <w:p w14:paraId="3F1EDDB7" w14:textId="77777777" w:rsidR="00E90611" w:rsidRDefault="00000000">
      <w:pPr>
        <w:pStyle w:val="ListBullet"/>
        <w:spacing w:before="40" w:after="60"/>
      </w:pPr>
      <w:r>
        <w:rPr>
          <w:b/>
          <w:color w:val="0F172A"/>
          <w:sz w:val="19"/>
        </w:rPr>
        <w:t xml:space="preserve">100% Elimination of Cloud Infrastructure Costs &amp; Server Carbon Footprint: </w:t>
      </w:r>
      <w:r>
        <w:rPr>
          <w:color w:val="334155"/>
          <w:sz w:val="19"/>
        </w:rPr>
        <w:t>Shifted computational workload from energy-intensive centralized cloud servers to decentralized client-side WebAssembly execution, reducing backend server hosting costs and idle compute emissions to zero.</w:t>
      </w:r>
    </w:p>
    <w:p w14:paraId="1E2C8B5A" w14:textId="77777777" w:rsidR="00E90611" w:rsidRDefault="00000000">
      <w:pPr>
        <w:spacing w:before="160" w:after="60"/>
      </w:pPr>
      <w:r>
        <w:rPr>
          <w:b/>
          <w:color w:val="0F172A"/>
          <w:sz w:val="22"/>
        </w:rPr>
        <w:t>Conclusion</w:t>
      </w:r>
    </w:p>
    <w:p w14:paraId="2DEAB551" w14:textId="77777777" w:rsidR="00E90611" w:rsidRDefault="00000000">
      <w:pPr>
        <w:spacing w:after="120"/>
      </w:pPr>
      <w:r>
        <w:rPr>
          <w:sz w:val="20"/>
        </w:rPr>
        <w:t>This project operationalizes UN Sustainable Development Goals as tangible, measurable technical outcomes rather than mere theoretical declarations. By combining client-side WebAssembly execution with a structured 8-section pedagogical methodology, the ML Virtual Lab democratizes AI/ML engineering education, eliminates socioeconomic and hardware barriers, and establishes a zero-emission, zero-cost model for modern technical education. Every claim above is substantiated by functional code, complete curriculum alignment, and comprehensive automated test suites.</w:t>
      </w:r>
    </w:p>
    <w:sectPr w:rsidR="00E90611"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34271">
    <w:abstractNumId w:val="8"/>
  </w:num>
  <w:num w:numId="2" w16cid:durableId="977878352">
    <w:abstractNumId w:val="6"/>
  </w:num>
  <w:num w:numId="3" w16cid:durableId="2073844870">
    <w:abstractNumId w:val="5"/>
  </w:num>
  <w:num w:numId="4" w16cid:durableId="995183754">
    <w:abstractNumId w:val="4"/>
  </w:num>
  <w:num w:numId="5" w16cid:durableId="760295500">
    <w:abstractNumId w:val="7"/>
  </w:num>
  <w:num w:numId="6" w16cid:durableId="1035084283">
    <w:abstractNumId w:val="3"/>
  </w:num>
  <w:num w:numId="7" w16cid:durableId="1382286704">
    <w:abstractNumId w:val="2"/>
  </w:num>
  <w:num w:numId="8" w16cid:durableId="1191844946">
    <w:abstractNumId w:val="1"/>
  </w:num>
  <w:num w:numId="9" w16cid:durableId="9873952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DCA"/>
    <w:rsid w:val="00326F90"/>
    <w:rsid w:val="00AA1D8D"/>
    <w:rsid w:val="00B20A7A"/>
    <w:rsid w:val="00B47730"/>
    <w:rsid w:val="00CB0664"/>
    <w:rsid w:val="00E90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37035"/>
  <w14:defaultImageDpi w14:val="300"/>
  <w15:docId w15:val="{B9157DAE-F113-A045-B880-97F5D825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631</Words>
  <Characters>4478</Characters>
  <Application>Microsoft Office Word</Application>
  <DocSecurity>0</DocSecurity>
  <Lines>93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AJITH</cp:lastModifiedBy>
  <cp:revision>2</cp:revision>
  <dcterms:created xsi:type="dcterms:W3CDTF">2013-12-23T23:15:00Z</dcterms:created>
  <dcterms:modified xsi:type="dcterms:W3CDTF">2026-08-23T22:24:00Z</dcterms:modified>
  <cp:category/>
</cp:coreProperties>
</file>