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0" w:before="0" w:lineRule="auto"/>
        <w:ind w:left="-360" w:firstLine="0"/>
        <w:rPr/>
      </w:pPr>
      <w:bookmarkStart w:colFirst="0" w:colLast="0" w:name="_u3iqqzpk1ycv" w:id="0"/>
      <w:bookmarkEnd w:id="0"/>
      <w:r w:rsidDel="00000000" w:rsidR="00000000" w:rsidRPr="00000000">
        <w:rPr>
          <w:b w:val="1"/>
          <w:color w:val="4a86e8"/>
          <w:sz w:val="40"/>
          <w:szCs w:val="40"/>
          <w:rtl w:val="0"/>
        </w:rPr>
        <w:t xml:space="preserve">Data</w:t>
      </w:r>
      <w:r w:rsidDel="00000000" w:rsidR="00000000" w:rsidRPr="00000000">
        <w:rPr>
          <w:rFonts w:ascii="Google Sans" w:cs="Google Sans" w:eastAsia="Google Sans" w:hAnsi="Google Sans"/>
          <w:b w:val="1"/>
          <w:color w:val="4a86e8"/>
          <w:sz w:val="40"/>
          <w:szCs w:val="40"/>
          <w:rtl w:val="0"/>
        </w:rPr>
        <w:t xml:space="preserve"> leak </w:t>
      </w:r>
      <w:r w:rsidDel="00000000" w:rsidR="00000000" w:rsidRPr="00000000">
        <w:rPr>
          <w:b w:val="1"/>
          <w:color w:val="4a86e8"/>
          <w:sz w:val="40"/>
          <w:szCs w:val="40"/>
          <w:rtl w:val="0"/>
        </w:rPr>
        <w:t xml:space="preserve">worksheet</w:t>
      </w:r>
      <w:r w:rsidDel="00000000" w:rsidR="00000000" w:rsidRPr="00000000">
        <w:rPr>
          <w:rtl w:val="0"/>
        </w:rPr>
      </w:r>
    </w:p>
    <w:p w:rsidR="00000000" w:rsidDel="00000000" w:rsidP="00000000" w:rsidRDefault="00000000" w:rsidRPr="00000000" w14:paraId="00000002">
      <w:pPr>
        <w:spacing w:after="0" w:before="0" w:lineRule="auto"/>
        <w:ind w:left="-36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ind w:left="-360" w:firstLine="0"/>
        <w:rPr/>
      </w:pPr>
      <w:r w:rsidDel="00000000" w:rsidR="00000000" w:rsidRPr="00000000">
        <w:rPr>
          <w:rtl w:val="0"/>
        </w:rPr>
      </w:r>
    </w:p>
    <w:p w:rsidR="00000000" w:rsidDel="00000000" w:rsidP="00000000" w:rsidRDefault="00000000" w:rsidRPr="00000000" w14:paraId="00000004">
      <w:pPr>
        <w:ind w:left="-360" w:right="-360" w:firstLine="0"/>
        <w:rPr/>
      </w:pPr>
      <w:r w:rsidDel="00000000" w:rsidR="00000000" w:rsidRPr="00000000">
        <w:rPr>
          <w:b w:val="1"/>
          <w:rtl w:val="0"/>
        </w:rPr>
        <w:t xml:space="preserve">Incident summary:</w:t>
      </w:r>
      <w:r w:rsidDel="00000000" w:rsidR="00000000" w:rsidRPr="00000000">
        <w:rPr>
          <w:rtl w:val="0"/>
        </w:rPr>
        <w:t xml:space="preserve"> </w:t>
      </w:r>
      <w:r w:rsidDel="00000000" w:rsidR="00000000" w:rsidRPr="00000000">
        <w:rPr>
          <w:rtl w:val="0"/>
        </w:rPr>
        <w:t xml:space="preserve">A sales manager shared access to a folder of internal-only documents with their team during a meeting. The folder contained files associated with a new product that has not been publicly announced. It also included customer analytics and promotional materials. After the meeting, the manager did not revoke access to the internal folder, but warned the team to wait for approval before sharing the promotional materials with others.</w:t>
      </w:r>
    </w:p>
    <w:p w:rsidR="00000000" w:rsidDel="00000000" w:rsidP="00000000" w:rsidRDefault="00000000" w:rsidRPr="00000000" w14:paraId="00000005">
      <w:pPr>
        <w:ind w:left="-360" w:right="-360" w:firstLine="0"/>
        <w:rPr/>
      </w:pPr>
      <w:r w:rsidDel="00000000" w:rsidR="00000000" w:rsidRPr="00000000">
        <w:rPr>
          <w:rtl w:val="0"/>
        </w:rPr>
      </w:r>
    </w:p>
    <w:p w:rsidR="00000000" w:rsidDel="00000000" w:rsidP="00000000" w:rsidRDefault="00000000" w:rsidRPr="00000000" w14:paraId="00000006">
      <w:pPr>
        <w:ind w:left="-360" w:right="-360" w:firstLine="0"/>
        <w:rPr/>
      </w:pPr>
      <w:r w:rsidDel="00000000" w:rsidR="00000000" w:rsidRPr="00000000">
        <w:rPr>
          <w:rtl w:val="0"/>
        </w:rPr>
        <w:t xml:space="preserve">During a video call with a business partner, a member of the sales team forgot the warning from their manager. The sales representative intended to share a link to the promotional materials so that the business partner could circulate the materials to their customers. However, the sales representative accidentally shared a link to the internal folder instead. Later, the business partner posted the link on their company's social media page assuming that it was the promotional materials.</w:t>
      </w:r>
    </w:p>
    <w:p w:rsidR="00000000" w:rsidDel="00000000" w:rsidP="00000000" w:rsidRDefault="00000000" w:rsidRPr="00000000" w14:paraId="00000007">
      <w:pPr>
        <w:ind w:left="-360" w:right="-360" w:firstLine="0"/>
        <w:rPr/>
      </w:pP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5"/>
        <w:gridCol w:w="1755"/>
        <w:gridCol w:w="2985"/>
        <w:gridCol w:w="2985"/>
        <w:tblGridChange w:id="0">
          <w:tblGrid>
            <w:gridCol w:w="2355"/>
            <w:gridCol w:w="1755"/>
            <w:gridCol w:w="2985"/>
            <w:gridCol w:w="2985"/>
          </w:tblGrid>
        </w:tblGridChange>
      </w:tblGrid>
      <w:tr>
        <w:trPr>
          <w:cantSplit w:val="0"/>
          <w:trHeight w:val="420" w:hRule="atLeast"/>
          <w:tblHeader w:val="0"/>
        </w:trPr>
        <w:tc>
          <w:tcPr>
            <w:shd w:fill="d9d9d9" w:val="clear"/>
            <w:tcMar>
              <w:top w:w="100.0" w:type="dxa"/>
              <w:left w:w="100.0" w:type="dxa"/>
              <w:bottom w:w="100.0" w:type="dxa"/>
              <w:right w:w="100.0" w:type="dxa"/>
            </w:tcMar>
          </w:tcPr>
          <w:p w:rsidR="00000000" w:rsidDel="00000000" w:rsidP="00000000" w:rsidRDefault="00000000" w:rsidRPr="00000000" w14:paraId="00000008">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Control</w:t>
            </w:r>
          </w:p>
        </w:tc>
        <w:tc>
          <w:tcPr>
            <w:gridSpan w:val="3"/>
            <w:shd w:fill="d9d9d9"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ind w:left="0" w:firstLine="0"/>
              <w:rPr>
                <w:b w:val="1"/>
                <w:color w:val="434343"/>
              </w:rPr>
            </w:pPr>
            <w:r w:rsidDel="00000000" w:rsidR="00000000" w:rsidRPr="00000000">
              <w:rPr>
                <w:b w:val="1"/>
                <w:color w:val="434343"/>
                <w:rtl w:val="0"/>
              </w:rPr>
              <w:t xml:space="preserve">Least privilege</w:t>
            </w:r>
          </w:p>
        </w:tc>
      </w:tr>
      <w:tr>
        <w:trPr>
          <w:cantSplit w:val="0"/>
          <w:trHeight w:val="391.31999999999994"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0C">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Issue(s)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rPr>
                <w:i w:val="1"/>
              </w:rPr>
            </w:pPr>
            <w:r w:rsidDel="00000000" w:rsidR="00000000" w:rsidRPr="00000000">
              <w:rPr>
                <w:i w:val="1"/>
                <w:rtl w:val="0"/>
              </w:rPr>
              <w:t xml:space="preserve">The factors that contributed to the data leak were the internal folder not being revoked and the principle of least privilege was not established during the meeting. Because the manager forgot to revoke access to the internal folder, this allowed for anyone within the company to have access to data that was confidential, resulting in a risk of data being leaked.  In addition, because all of the team members had access to the document, this was also another risk of data being leaked, as users could have shared the internal information when it shouldn’t have, which in this case, did happen because a member forgot about the warning from the manager.</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0">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Review</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rPr>
                <w:i w:val="1"/>
              </w:rPr>
            </w:pPr>
            <w:r w:rsidDel="00000000" w:rsidR="00000000" w:rsidRPr="00000000">
              <w:rPr>
                <w:i w:val="1"/>
                <w:rtl w:val="0"/>
              </w:rPr>
              <w:t xml:space="preserve">NIST SP 800-53: AC-6 addresses the principle of least privilege, where only minimal access and authorization required to complete a task, should be granted to users. This includes things like processes, user accounts, and roles that should be enforced to reduce risks and vulnerabilities in data being compromised by users operating in higher privilege levels than necessary. Some actions it presented included restricting access to sensitive sources based on user roles, automatically revoking access to internal data, and keeping audits and logs of provisioned user accounts and user privileges</w:t>
            </w:r>
          </w:p>
        </w:tc>
      </w:tr>
      <w:tr>
        <w:trPr>
          <w:cantSplit w:val="0"/>
          <w:trHeight w:val="58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4">
            <w:pPr>
              <w:widowControl w:val="0"/>
              <w:spacing w:line="360" w:lineRule="auto"/>
              <w:ind w:left="0" w:firstLine="0"/>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Recommendation(s)</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spacing w:line="360" w:lineRule="auto"/>
              <w:ind w:left="0" w:firstLine="0"/>
              <w:rPr>
                <w:i w:val="1"/>
              </w:rPr>
            </w:pPr>
            <w:r w:rsidDel="00000000" w:rsidR="00000000" w:rsidRPr="00000000">
              <w:rPr>
                <w:i w:val="1"/>
                <w:rtl w:val="0"/>
              </w:rPr>
              <w:t xml:space="preserve">The principle of least privilege could be improved on by the company by addressing the two issues mentioned: the internal folder not being revoked and the principle of least privilege was not established during the meeting. The recommendations for applying stronger principle of least privilege include automatically revoking access to information for a certain period of time, and keeping activity logs of provisioned user accounts</w:t>
            </w:r>
            <w:r w:rsidDel="00000000" w:rsidR="00000000" w:rsidRPr="00000000">
              <w:rPr>
                <w:rtl w:val="0"/>
              </w:rPr>
            </w:r>
          </w:p>
        </w:tc>
      </w:tr>
      <w:tr>
        <w:trPr>
          <w:cantSplit w:val="0"/>
          <w:trHeight w:val="616.3199999999999" w:hRule="atLeast"/>
          <w:tblHeader w:val="0"/>
        </w:trPr>
        <w:tc>
          <w:tcPr>
            <w:shd w:fill="auto" w:val="clear"/>
            <w:tcMar>
              <w:top w:w="100.0" w:type="dxa"/>
              <w:left w:w="100.0" w:type="dxa"/>
              <w:bottom w:w="100.0" w:type="dxa"/>
              <w:right w:w="100.0" w:type="dxa"/>
            </w:tcMar>
          </w:tcPr>
          <w:p w:rsidR="00000000" w:rsidDel="00000000" w:rsidP="00000000" w:rsidRDefault="00000000" w:rsidRPr="00000000" w14:paraId="00000018">
            <w:pPr>
              <w:widowControl w:val="0"/>
              <w:spacing w:line="360" w:lineRule="auto"/>
              <w:ind w:left="0" w:firstLine="0"/>
              <w:rPr>
                <w:rFonts w:ascii="Google Sans" w:cs="Google Sans" w:eastAsia="Google Sans" w:hAnsi="Google Sans"/>
                <w:b w:val="1"/>
              </w:rPr>
            </w:pPr>
            <w:r w:rsidDel="00000000" w:rsidR="00000000" w:rsidRPr="00000000">
              <w:rPr>
                <w:b w:val="1"/>
                <w:rtl w:val="0"/>
              </w:rPr>
              <w:t xml:space="preserve">Justification</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ind w:left="0" w:firstLine="0"/>
              <w:rPr>
                <w:i w:val="1"/>
              </w:rPr>
            </w:pPr>
            <w:r w:rsidDel="00000000" w:rsidR="00000000" w:rsidRPr="00000000">
              <w:rPr>
                <w:i w:val="1"/>
                <w:rtl w:val="0"/>
              </w:rPr>
              <w:t xml:space="preserve">Firstly, the internal folder should have an automatic revoking access to information, as this prevents internal data from being a vulnerability for an extended period of time. If access to the internal folder was automatically revoked after a certain period of time, this would allow the data inside to only be accessed for a limited time before anyone else in the company has a chance of looking into the folder, aside from the team members. Secondly, keeping activity logs of provisioned user accounts will help to identify who is using the data in the internal folder and when. This allows the manager or security team to be able to trace back to who accessed the folder, and what things they have done to the folder, and set up an alert for data that could have been shared externally. In the scenario with the team member that accidentally shared internal data, the audit would help to trace back to the team member that shared the data and suspicious activity that they have done, and prevent them from leaking internal data to external sources.</w:t>
            </w:r>
            <w:r w:rsidDel="00000000" w:rsidR="00000000" w:rsidRPr="00000000">
              <w:rPr>
                <w:rtl w:val="0"/>
              </w:rPr>
            </w:r>
          </w:p>
        </w:tc>
      </w:tr>
    </w:tbl>
    <w:p w:rsidR="00000000" w:rsidDel="00000000" w:rsidP="00000000" w:rsidRDefault="00000000" w:rsidRPr="00000000" w14:paraId="0000001C">
      <w:pPr>
        <w:ind w:left="-360" w:right="-360" w:firstLine="0"/>
        <w:rPr/>
      </w:pPr>
      <w:r w:rsidDel="00000000" w:rsidR="00000000" w:rsidRPr="00000000">
        <w:rPr>
          <w:rtl w:val="0"/>
        </w:rPr>
      </w:r>
    </w:p>
    <w:p w:rsidR="00000000" w:rsidDel="00000000" w:rsidP="00000000" w:rsidRDefault="00000000" w:rsidRPr="00000000" w14:paraId="0000001D">
      <w:pPr>
        <w:ind w:left="-360" w:right="-360" w:firstLine="0"/>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3"/>
        <w:ind w:left="-360" w:right="-360" w:firstLine="0"/>
        <w:rPr>
          <w:rFonts w:ascii="Google Sans" w:cs="Google Sans" w:eastAsia="Google Sans" w:hAnsi="Google Sans"/>
          <w:b w:val="1"/>
          <w:color w:val="4a86e8"/>
        </w:rPr>
      </w:pPr>
      <w:bookmarkStart w:colFirst="0" w:colLast="0" w:name="_ka0u51o5b7wk" w:id="1"/>
      <w:bookmarkEnd w:id="1"/>
      <w:r w:rsidDel="00000000" w:rsidR="00000000" w:rsidRPr="00000000">
        <w:rPr>
          <w:b w:val="1"/>
          <w:color w:val="4a86e8"/>
          <w:rtl w:val="0"/>
        </w:rPr>
        <w:t xml:space="preserve">Security plan snapshot</w:t>
      </w:r>
      <w:r w:rsidDel="00000000" w:rsidR="00000000" w:rsidRPr="00000000">
        <w:rPr>
          <w:rtl w:val="0"/>
        </w:rPr>
      </w:r>
    </w:p>
    <w:p w:rsidR="00000000" w:rsidDel="00000000" w:rsidP="00000000" w:rsidRDefault="00000000" w:rsidRPr="00000000" w14:paraId="0000001F">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NIST </w:t>
      </w:r>
      <w:r w:rsidDel="00000000" w:rsidR="00000000" w:rsidRPr="00000000">
        <w:rPr>
          <w:rFonts w:ascii="Google Sans" w:cs="Google Sans" w:eastAsia="Google Sans" w:hAnsi="Google Sans"/>
          <w:rtl w:val="0"/>
        </w:rPr>
        <w:t xml:space="preserve">Cybersecurity F</w:t>
      </w:r>
      <w:r w:rsidDel="00000000" w:rsidR="00000000" w:rsidRPr="00000000">
        <w:rPr>
          <w:rFonts w:ascii="Google Sans" w:cs="Google Sans" w:eastAsia="Google Sans" w:hAnsi="Google Sans"/>
          <w:rtl w:val="0"/>
        </w:rPr>
        <w:t xml:space="preserve">ramework (CSF) uses a hierarchical, tree-like structure to organize information. From left to right, it describes a broad security function, then becomes more specific as it branches out to a category, subcategory, and individual security controls.</w:t>
      </w:r>
    </w:p>
    <w:p w:rsidR="00000000" w:rsidDel="00000000" w:rsidP="00000000" w:rsidRDefault="00000000" w:rsidRPr="00000000" w14:paraId="00000020">
      <w:pPr>
        <w:ind w:left="-360" w:right="-360" w:firstLine="0"/>
        <w:rPr>
          <w:rFonts w:ascii="Google Sans" w:cs="Google Sans" w:eastAsia="Google Sans" w:hAnsi="Google Sans"/>
        </w:rPr>
      </w:pPr>
      <w:r w:rsidDel="00000000" w:rsidR="00000000" w:rsidRPr="00000000">
        <w:rPr>
          <w:rtl w:val="0"/>
        </w:rPr>
      </w:r>
    </w:p>
    <w:tbl>
      <w:tblPr>
        <w:tblStyle w:val="Table2"/>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95"/>
        <w:gridCol w:w="2370"/>
        <w:gridCol w:w="3360"/>
        <w:gridCol w:w="2640"/>
        <w:tblGridChange w:id="0">
          <w:tblGrid>
            <w:gridCol w:w="1695"/>
            <w:gridCol w:w="2370"/>
            <w:gridCol w:w="3360"/>
            <w:gridCol w:w="2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Function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Subcategory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Reference(s)</w:t>
            </w:r>
          </w:p>
        </w:tc>
      </w:tr>
      <w:tr>
        <w:trPr>
          <w:cantSplit w:val="0"/>
          <w:trHeight w:val="865.8800000000001" w:hRule="atLeast"/>
          <w:tblHeader w:val="0"/>
        </w:trPr>
        <w:tc>
          <w:tcPr>
            <w:shd w:fill="d9d2e9"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sz w:val="24"/>
                <w:szCs w:val="24"/>
              </w:rPr>
            </w:pPr>
            <w:r w:rsidDel="00000000" w:rsidR="00000000" w:rsidRPr="00000000">
              <w:rPr>
                <w:rFonts w:ascii="Google Sans" w:cs="Google Sans" w:eastAsia="Google Sans" w:hAnsi="Google Sans"/>
                <w:b w:val="1"/>
                <w:sz w:val="24"/>
                <w:szCs w:val="24"/>
                <w:rtl w:val="0"/>
              </w:rPr>
              <w:t xml:space="preserve">Protect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Data security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 w:firstLine="0"/>
              <w:jc w:val="left"/>
              <w:rPr>
                <w:rFonts w:ascii="Google Sans" w:cs="Google Sans" w:eastAsia="Google Sans" w:hAnsi="Google Sans"/>
                <w:i w:val="1"/>
              </w:rPr>
            </w:pPr>
            <w:r w:rsidDel="00000000" w:rsidR="00000000" w:rsidRPr="00000000">
              <w:rPr>
                <w:rFonts w:ascii="Google Sans" w:cs="Google Sans" w:eastAsia="Google Sans" w:hAnsi="Google Sans"/>
                <w:rtl w:val="0"/>
              </w:rPr>
              <w:t xml:space="preserve">PR.DS-5:</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i w:val="1"/>
                <w:rtl w:val="0"/>
              </w:rPr>
              <w:t xml:space="preserve">Protections against data leaks.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NIST SP 800-53:</w:t>
            </w:r>
            <w:r w:rsidDel="00000000" w:rsidR="00000000" w:rsidRPr="00000000">
              <w:rPr>
                <w:rFonts w:ascii="Google Sans" w:cs="Google Sans" w:eastAsia="Google Sans" w:hAnsi="Google Sans"/>
                <w:rtl w:val="0"/>
              </w:rPr>
              <w:t xml:space="preserve"> </w:t>
            </w:r>
            <w:r w:rsidDel="00000000" w:rsidR="00000000" w:rsidRPr="00000000">
              <w:rPr>
                <w:rFonts w:ascii="Google Sans" w:cs="Google Sans" w:eastAsia="Google Sans" w:hAnsi="Google Sans"/>
                <w:rtl w:val="0"/>
              </w:rPr>
              <w:t xml:space="preserve">AC-6</w:t>
            </w:r>
            <w:r w:rsidDel="00000000" w:rsidR="00000000" w:rsidRPr="00000000">
              <w:rPr>
                <w:rtl w:val="0"/>
              </w:rPr>
            </w:r>
          </w:p>
        </w:tc>
      </w:tr>
    </w:tbl>
    <w:p w:rsidR="00000000" w:rsidDel="00000000" w:rsidP="00000000" w:rsidRDefault="00000000" w:rsidRPr="00000000" w14:paraId="00000029">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A">
      <w:pPr>
        <w:ind w:left="-360" w:right="-36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In this example, the implemented controls that are used by the manufacturer to protect against data leaks are defined in NIST SP 800-53—a set of guidelines for securing the privacy of information systems.</w:t>
      </w:r>
    </w:p>
    <w:p w:rsidR="00000000" w:rsidDel="00000000" w:rsidP="00000000" w:rsidRDefault="00000000" w:rsidRPr="00000000" w14:paraId="0000002B">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C">
      <w:pPr>
        <w:ind w:left="-360" w:right="-360" w:firstLine="0"/>
        <w:rPr>
          <w:rFonts w:ascii="Google Sans" w:cs="Google Sans" w:eastAsia="Google Sans" w:hAnsi="Google Sans"/>
        </w:rPr>
      </w:pPr>
      <w:r w:rsidDel="00000000" w:rsidR="00000000" w:rsidRPr="00000000">
        <w:rPr>
          <w:b w:val="1"/>
          <w:rtl w:val="0"/>
        </w:rPr>
        <w:t xml:space="preserve">Note:</w:t>
      </w:r>
      <w:r w:rsidDel="00000000" w:rsidR="00000000" w:rsidRPr="00000000">
        <w:rPr>
          <w:rtl w:val="0"/>
        </w:rPr>
        <w:t xml:space="preserve"> </w:t>
      </w:r>
      <w:r w:rsidDel="00000000" w:rsidR="00000000" w:rsidRPr="00000000">
        <w:rPr>
          <w:rFonts w:ascii="Google Sans" w:cs="Google Sans" w:eastAsia="Google Sans" w:hAnsi="Google Sans"/>
          <w:rtl w:val="0"/>
        </w:rPr>
        <w:t xml:space="preserve">References are commonly hyperlinked to the guidelines or regulations they relate to. This makes it easy to learn more about how a particular control should be implemented. It's common to find multiple links to different sources in the references columns.</w:t>
      </w:r>
    </w:p>
    <w:p w:rsidR="00000000" w:rsidDel="00000000" w:rsidP="00000000" w:rsidRDefault="00000000" w:rsidRPr="00000000" w14:paraId="0000002D">
      <w:pPr>
        <w:ind w:left="-360" w:right="-360" w:firstLine="0"/>
        <w:rPr>
          <w:rFonts w:ascii="Google Sans" w:cs="Google Sans" w:eastAsia="Google Sans" w:hAnsi="Google Sans"/>
        </w:rPr>
      </w:pPr>
      <w:r w:rsidDel="00000000" w:rsidR="00000000" w:rsidRPr="00000000">
        <w:br w:type="page"/>
      </w:r>
      <w:r w:rsidDel="00000000" w:rsidR="00000000" w:rsidRPr="00000000">
        <w:rPr>
          <w:rtl w:val="0"/>
        </w:rPr>
      </w:r>
    </w:p>
    <w:p w:rsidR="00000000" w:rsidDel="00000000" w:rsidP="00000000" w:rsidRDefault="00000000" w:rsidRPr="00000000" w14:paraId="0000002E">
      <w:pPr>
        <w:pStyle w:val="Heading3"/>
        <w:ind w:left="-360" w:right="-360" w:firstLine="0"/>
        <w:rPr>
          <w:rFonts w:ascii="Google Sans" w:cs="Google Sans" w:eastAsia="Google Sans" w:hAnsi="Google Sans"/>
          <w:b w:val="1"/>
          <w:color w:val="4a86e8"/>
        </w:rPr>
      </w:pPr>
      <w:bookmarkStart w:colFirst="0" w:colLast="0" w:name="_hvbcmqwzo9do" w:id="2"/>
      <w:bookmarkEnd w:id="2"/>
      <w:r w:rsidDel="00000000" w:rsidR="00000000" w:rsidRPr="00000000">
        <w:rPr>
          <w:rFonts w:ascii="Google Sans" w:cs="Google Sans" w:eastAsia="Google Sans" w:hAnsi="Google Sans"/>
          <w:b w:val="1"/>
          <w:color w:val="4a86e8"/>
          <w:rtl w:val="0"/>
        </w:rPr>
        <w:t xml:space="preserve">NIST </w:t>
      </w:r>
      <w:r w:rsidDel="00000000" w:rsidR="00000000" w:rsidRPr="00000000">
        <w:rPr>
          <w:rFonts w:ascii="Google Sans" w:cs="Google Sans" w:eastAsia="Google Sans" w:hAnsi="Google Sans"/>
          <w:b w:val="1"/>
          <w:color w:val="4a86e8"/>
          <w:rtl w:val="0"/>
        </w:rPr>
        <w:t xml:space="preserve">SP 800-53: AC-6</w:t>
      </w:r>
      <w:r w:rsidDel="00000000" w:rsidR="00000000" w:rsidRPr="00000000">
        <w:rPr>
          <w:rtl w:val="0"/>
        </w:rPr>
      </w:r>
    </w:p>
    <w:p w:rsidR="00000000" w:rsidDel="00000000" w:rsidP="00000000" w:rsidRDefault="00000000" w:rsidRPr="00000000" w14:paraId="0000002F">
      <w:pPr>
        <w:ind w:left="-360" w:right="-360" w:firstLine="0"/>
        <w:rPr/>
      </w:pPr>
      <w:r w:rsidDel="00000000" w:rsidR="00000000" w:rsidRPr="00000000">
        <w:rPr>
          <w:rtl w:val="0"/>
        </w:rPr>
        <w:t xml:space="preserve">NIST developed SP 800-53</w:t>
      </w:r>
      <w:r w:rsidDel="00000000" w:rsidR="00000000" w:rsidRPr="00000000">
        <w:rPr>
          <w:rtl w:val="0"/>
        </w:rPr>
        <w:t xml:space="preserve"> to provide businesses with </w:t>
      </w:r>
      <w:r w:rsidDel="00000000" w:rsidR="00000000" w:rsidRPr="00000000">
        <w:rPr>
          <w:rFonts w:ascii="Google Sans" w:cs="Google Sans" w:eastAsia="Google Sans" w:hAnsi="Google Sans"/>
          <w:rtl w:val="0"/>
        </w:rPr>
        <w:t xml:space="preserve">a </w:t>
      </w:r>
      <w:r w:rsidDel="00000000" w:rsidR="00000000" w:rsidRPr="00000000">
        <w:rPr>
          <w:rtl w:val="0"/>
        </w:rPr>
        <w:t xml:space="preserve">customizable</w:t>
      </w:r>
      <w:r w:rsidDel="00000000" w:rsidR="00000000" w:rsidRPr="00000000">
        <w:rPr>
          <w:rFonts w:ascii="Google Sans" w:cs="Google Sans" w:eastAsia="Google Sans" w:hAnsi="Google Sans"/>
          <w:rtl w:val="0"/>
        </w:rPr>
        <w:t xml:space="preserve"> </w:t>
      </w:r>
      <w:r w:rsidDel="00000000" w:rsidR="00000000" w:rsidRPr="00000000">
        <w:rPr>
          <w:rtl w:val="0"/>
        </w:rPr>
        <w:t xml:space="preserve">information privacy plan. It's a comprehensive resource that describes a wide range of control categories. Each control provides a few key pieces of information:</w:t>
      </w:r>
    </w:p>
    <w:p w:rsidR="00000000" w:rsidDel="00000000" w:rsidP="00000000" w:rsidRDefault="00000000" w:rsidRPr="00000000" w14:paraId="00000030">
      <w:pPr>
        <w:numPr>
          <w:ilvl w:val="0"/>
          <w:numId w:val="2"/>
        </w:numPr>
        <w:ind w:left="720" w:right="-360" w:hanging="360"/>
        <w:rPr>
          <w:u w:val="none"/>
        </w:rPr>
      </w:pPr>
      <w:r w:rsidDel="00000000" w:rsidR="00000000" w:rsidRPr="00000000">
        <w:rPr>
          <w:b w:val="1"/>
          <w:rtl w:val="0"/>
        </w:rPr>
        <w:t xml:space="preserve">Control:</w:t>
      </w:r>
      <w:r w:rsidDel="00000000" w:rsidR="00000000" w:rsidRPr="00000000">
        <w:rPr>
          <w:rtl w:val="0"/>
        </w:rPr>
        <w:t xml:space="preserve"> A definition of the security control.</w:t>
      </w:r>
    </w:p>
    <w:p w:rsidR="00000000" w:rsidDel="00000000" w:rsidP="00000000" w:rsidRDefault="00000000" w:rsidRPr="00000000" w14:paraId="00000031">
      <w:pPr>
        <w:numPr>
          <w:ilvl w:val="0"/>
          <w:numId w:val="2"/>
        </w:numPr>
        <w:ind w:left="720" w:right="-360" w:hanging="360"/>
        <w:rPr>
          <w:u w:val="none"/>
        </w:rPr>
      </w:pPr>
      <w:r w:rsidDel="00000000" w:rsidR="00000000" w:rsidRPr="00000000">
        <w:rPr>
          <w:b w:val="1"/>
          <w:rtl w:val="0"/>
        </w:rPr>
        <w:t xml:space="preserve">Discussion:</w:t>
      </w:r>
      <w:r w:rsidDel="00000000" w:rsidR="00000000" w:rsidRPr="00000000">
        <w:rPr>
          <w:rtl w:val="0"/>
        </w:rPr>
        <w:t xml:space="preserve"> A description of how the control should be implemented.</w:t>
      </w:r>
    </w:p>
    <w:p w:rsidR="00000000" w:rsidDel="00000000" w:rsidP="00000000" w:rsidRDefault="00000000" w:rsidRPr="00000000" w14:paraId="00000032">
      <w:pPr>
        <w:numPr>
          <w:ilvl w:val="0"/>
          <w:numId w:val="2"/>
        </w:numPr>
        <w:ind w:left="720" w:right="-360" w:hanging="360"/>
        <w:rPr>
          <w:u w:val="none"/>
        </w:rPr>
      </w:pPr>
      <w:r w:rsidDel="00000000" w:rsidR="00000000" w:rsidRPr="00000000">
        <w:rPr>
          <w:b w:val="1"/>
          <w:rtl w:val="0"/>
        </w:rPr>
        <w:t xml:space="preserve">Control enhancements:</w:t>
      </w:r>
      <w:r w:rsidDel="00000000" w:rsidR="00000000" w:rsidRPr="00000000">
        <w:rPr>
          <w:rtl w:val="0"/>
        </w:rPr>
        <w:t xml:space="preserve"> A list of suggestions to improve the effectiveness of the control.</w:t>
      </w:r>
    </w:p>
    <w:p w:rsidR="00000000" w:rsidDel="00000000" w:rsidP="00000000" w:rsidRDefault="00000000" w:rsidRPr="00000000" w14:paraId="00000033">
      <w:pPr>
        <w:ind w:left="-360" w:right="-360" w:firstLine="0"/>
        <w:rPr>
          <w:rFonts w:ascii="Google Sans" w:cs="Google Sans" w:eastAsia="Google Sans" w:hAnsi="Google Sans"/>
        </w:rPr>
      </w:pPr>
      <w:r w:rsidDel="00000000" w:rsidR="00000000" w:rsidRPr="00000000">
        <w:rPr>
          <w:rtl w:val="0"/>
        </w:rPr>
      </w:r>
    </w:p>
    <w:tbl>
      <w:tblPr>
        <w:tblStyle w:val="Table3"/>
        <w:tblW w:w="10065.0" w:type="dxa"/>
        <w:jc w:val="left"/>
        <w:tblInd w:w="-3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8865"/>
        <w:tblGridChange w:id="0">
          <w:tblGrid>
            <w:gridCol w:w="1200"/>
            <w:gridCol w:w="8865"/>
          </w:tblGrid>
        </w:tblGridChange>
      </w:tblGrid>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0" w:firstLine="0"/>
              <w:jc w:val="left"/>
              <w:rPr>
                <w:rFonts w:ascii="Google Sans" w:cs="Google Sans" w:eastAsia="Google Sans" w:hAnsi="Google Sans"/>
                <w:b w:val="1"/>
              </w:rPr>
            </w:pPr>
            <w:r w:rsidDel="00000000" w:rsidR="00000000" w:rsidRPr="00000000">
              <w:rPr>
                <w:rFonts w:ascii="Google Sans" w:cs="Google Sans" w:eastAsia="Google Sans" w:hAnsi="Google Sans"/>
                <w:b w:val="1"/>
                <w:rtl w:val="0"/>
              </w:rPr>
              <w:t xml:space="preserve">AC-6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ind w:left="0" w:right="15" w:firstLine="0"/>
              <w:rPr>
                <w:rFonts w:ascii="Google Sans" w:cs="Google Sans" w:eastAsia="Google Sans" w:hAnsi="Google Sans"/>
              </w:rPr>
            </w:pPr>
            <w:r w:rsidDel="00000000" w:rsidR="00000000" w:rsidRPr="00000000">
              <w:rPr>
                <w:rFonts w:ascii="Google Sans" w:cs="Google Sans" w:eastAsia="Google Sans" w:hAnsi="Google Sans"/>
                <w:b w:val="1"/>
                <w:rtl w:val="0"/>
              </w:rPr>
              <w:t xml:space="preserve">Least Privilege</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ind w:left="0" w:right="15" w:firstLine="0"/>
              <w:rPr>
                <w:rFonts w:ascii="Google Sans" w:cs="Google Sans" w:eastAsia="Google Sans" w:hAnsi="Google Sans"/>
                <w:i w:val="1"/>
              </w:rPr>
            </w:pPr>
            <w:r w:rsidDel="00000000" w:rsidR="00000000" w:rsidRPr="00000000">
              <w:rPr>
                <w:rFonts w:ascii="Google Sans" w:cs="Google Sans" w:eastAsia="Google Sans" w:hAnsi="Google Sans"/>
                <w:rtl w:val="0"/>
              </w:rPr>
              <w:t xml:space="preserve">Control:</w:t>
            </w:r>
            <w:r w:rsidDel="00000000" w:rsidR="00000000" w:rsidRPr="00000000">
              <w:rPr>
                <w:rtl w:val="0"/>
              </w:rPr>
            </w:r>
          </w:p>
          <w:p w:rsidR="00000000" w:rsidDel="00000000" w:rsidP="00000000" w:rsidRDefault="00000000" w:rsidRPr="00000000" w14:paraId="00000038">
            <w:pPr>
              <w:ind w:left="0" w:right="15"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Only </w:t>
            </w:r>
            <w:r w:rsidDel="00000000" w:rsidR="00000000" w:rsidRPr="00000000">
              <w:rPr>
                <w:rtl w:val="0"/>
              </w:rPr>
              <w:t xml:space="preserve">the minimal access and authorization required to complete a task or function should be provided to users.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ind w:right="15"/>
              <w:rPr/>
            </w:pPr>
            <w:r w:rsidDel="00000000" w:rsidR="00000000" w:rsidRPr="00000000">
              <w:rPr>
                <w:rtl w:val="0"/>
              </w:rPr>
              <w:t xml:space="preserve">Discussion:</w:t>
            </w:r>
          </w:p>
          <w:p w:rsidR="00000000" w:rsidDel="00000000" w:rsidP="00000000" w:rsidRDefault="00000000" w:rsidRPr="00000000" w14:paraId="0000003B">
            <w:pPr>
              <w:ind w:right="15"/>
              <w:rPr/>
            </w:pPr>
            <w:r w:rsidDel="00000000" w:rsidR="00000000" w:rsidRPr="00000000">
              <w:rPr>
                <w:rtl w:val="0"/>
              </w:rPr>
              <w:t xml:space="preserve">Processes, user accounts, and roles should be enforced as necessary to achieve least privilege. </w:t>
            </w:r>
            <w:r w:rsidDel="00000000" w:rsidR="00000000" w:rsidRPr="00000000">
              <w:rPr>
                <w:rtl w:val="0"/>
              </w:rPr>
              <w:t xml:space="preserve">The intention is to prevent a user from operating at privilege levels higher than what is necessary to accomplish business objectives.</w:t>
            </w: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0" w:firstLine="0"/>
              <w:jc w:val="left"/>
              <w:rPr>
                <w:rFonts w:ascii="Google Sans" w:cs="Google Sans" w:eastAsia="Google Sans" w:hAnsi="Google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ind w:left="0" w:right="15" w:firstLine="0"/>
              <w:rPr/>
            </w:pPr>
            <w:r w:rsidDel="00000000" w:rsidR="00000000" w:rsidRPr="00000000">
              <w:rPr>
                <w:rtl w:val="0"/>
              </w:rPr>
              <w:t xml:space="preserve">Control enhancements:</w:t>
            </w:r>
          </w:p>
          <w:p w:rsidR="00000000" w:rsidDel="00000000" w:rsidP="00000000" w:rsidRDefault="00000000" w:rsidRPr="00000000" w14:paraId="0000003E">
            <w:pPr>
              <w:numPr>
                <w:ilvl w:val="0"/>
                <w:numId w:val="1"/>
              </w:numPr>
              <w:ind w:left="720" w:right="-360" w:hanging="360"/>
              <w:rPr>
                <w:u w:val="none"/>
              </w:rPr>
            </w:pPr>
            <w:r w:rsidDel="00000000" w:rsidR="00000000" w:rsidRPr="00000000">
              <w:rPr>
                <w:rtl w:val="0"/>
              </w:rPr>
              <w:t xml:space="preserve">Restrict access to sensitive resources based on user role.</w:t>
            </w:r>
          </w:p>
          <w:p w:rsidR="00000000" w:rsidDel="00000000" w:rsidP="00000000" w:rsidRDefault="00000000" w:rsidRPr="00000000" w14:paraId="0000003F">
            <w:pPr>
              <w:numPr>
                <w:ilvl w:val="0"/>
                <w:numId w:val="1"/>
              </w:numPr>
              <w:ind w:left="720" w:right="-360" w:hanging="360"/>
              <w:rPr>
                <w:u w:val="none"/>
              </w:rPr>
            </w:pPr>
            <w:r w:rsidDel="00000000" w:rsidR="00000000" w:rsidRPr="00000000">
              <w:rPr>
                <w:rtl w:val="0"/>
              </w:rPr>
              <w:t xml:space="preserve">Automatically revoke access to information after a period of time.</w:t>
            </w:r>
          </w:p>
          <w:p w:rsidR="00000000" w:rsidDel="00000000" w:rsidP="00000000" w:rsidRDefault="00000000" w:rsidRPr="00000000" w14:paraId="00000040">
            <w:pPr>
              <w:numPr>
                <w:ilvl w:val="0"/>
                <w:numId w:val="1"/>
              </w:numPr>
              <w:ind w:left="720" w:right="-360" w:hanging="360"/>
              <w:rPr>
                <w:u w:val="none"/>
              </w:rPr>
            </w:pPr>
            <w:r w:rsidDel="00000000" w:rsidR="00000000" w:rsidRPr="00000000">
              <w:rPr>
                <w:rtl w:val="0"/>
              </w:rPr>
              <w:t xml:space="preserve">Keep activity logs of provisioned user accounts.</w:t>
            </w:r>
          </w:p>
          <w:p w:rsidR="00000000" w:rsidDel="00000000" w:rsidP="00000000" w:rsidRDefault="00000000" w:rsidRPr="00000000" w14:paraId="00000041">
            <w:pPr>
              <w:numPr>
                <w:ilvl w:val="0"/>
                <w:numId w:val="1"/>
              </w:numPr>
              <w:ind w:left="720" w:right="-360" w:hanging="360"/>
              <w:rPr>
                <w:u w:val="none"/>
              </w:rPr>
            </w:pPr>
            <w:r w:rsidDel="00000000" w:rsidR="00000000" w:rsidRPr="00000000">
              <w:rPr>
                <w:rtl w:val="0"/>
              </w:rPr>
              <w:t xml:space="preserve">Regularly audit user privileges.</w:t>
            </w:r>
            <w:r w:rsidDel="00000000" w:rsidR="00000000" w:rsidRPr="00000000">
              <w:rPr>
                <w:rtl w:val="0"/>
              </w:rPr>
            </w:r>
          </w:p>
        </w:tc>
      </w:tr>
    </w:tbl>
    <w:p w:rsidR="00000000" w:rsidDel="00000000" w:rsidP="00000000" w:rsidRDefault="00000000" w:rsidRPr="00000000" w14:paraId="00000042">
      <w:pPr>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3">
      <w:pPr>
        <w:ind w:left="-360" w:right="-360" w:firstLine="0"/>
        <w:rPr/>
      </w:pPr>
      <w:r w:rsidDel="00000000" w:rsidR="00000000" w:rsidRPr="00000000">
        <w:rPr>
          <w:b w:val="1"/>
          <w:rtl w:val="0"/>
        </w:rPr>
        <w:t xml:space="preserve">Note:</w:t>
      </w:r>
      <w:r w:rsidDel="00000000" w:rsidR="00000000" w:rsidRPr="00000000">
        <w:rPr>
          <w:rtl w:val="0"/>
        </w:rPr>
        <w:t xml:space="preserve"> In the category of access controls, SP 800-53 lists least privilege sixth, i.e. AC-6.</w:t>
      </w:r>
    </w:p>
    <w:p w:rsidR="00000000" w:rsidDel="00000000" w:rsidP="00000000" w:rsidRDefault="00000000" w:rsidRPr="00000000" w14:paraId="00000044">
      <w:pPr>
        <w:ind w:left="-360" w:right="-360" w:firstLine="0"/>
        <w:rPr/>
      </w:pP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ind w:left="-360" w:right="-360" w:firstLine="0"/>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ind w:left="-360" w:right="-36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lang w:val="en"/>
      </w:rPr>
    </w:rPrDefault>
    <w:pPrDefault>
      <w:pPr>
        <w:spacing w:line="3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