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rPr>
      </w:pPr>
      <w:bookmarkStart w:colFirst="0" w:colLast="0" w:name="_ea47l03q23w1" w:id="1"/>
      <w:bookmarkEnd w:id="1"/>
      <w:r w:rsidDel="00000000" w:rsidR="00000000" w:rsidRPr="00000000">
        <w:rPr>
          <w:b w:val="1"/>
          <w:rtl w:val="0"/>
        </w:rPr>
        <w:t xml:space="preserve">Operational environment</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b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i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rFonts w:ascii="Google Sans" w:cs="Google Sans" w:eastAsia="Google Sans" w:hAnsi="Google Sans"/>
              </w:rPr>
            </w:pPr>
            <w:r w:rsidDel="00000000" w:rsidR="00000000" w:rsidRPr="00000000">
              <w:rPr>
                <w:i w:val="1"/>
                <w:rtl w:val="0"/>
              </w:rPr>
              <w:t xml:space="preserve">Considering the current operational environment of the bank, the bank’s funds have risks in losing its funds through intentional and unintentional means. From poor cybersecurity management that compromises confidential data of funds, to weak physical security that can be infiltrated, and even natural disasters that could disrupt business operations at any moment. </w:t>
            </w:r>
            <w:r w:rsidDel="00000000" w:rsidR="00000000" w:rsidRPr="00000000">
              <w:rPr>
                <w:rtl w:val="0"/>
              </w:rPr>
            </w:r>
          </w:p>
        </w:tc>
      </w:tr>
    </w:tbl>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rtl w:val="0"/>
        </w:rPr>
        <w:t xml:space="preserve">Risk(s)</w:t>
      </w:r>
      <w:r w:rsidDel="00000000" w:rsidR="00000000" w:rsidRPr="00000000">
        <w:rPr>
          <w:rFonts w:ascii="Google Sans" w:cs="Google Sans" w:eastAsia="Google Sans" w:hAnsi="Google Sans"/>
          <w:b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