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a86e8"/>
          <w:sz w:val="58"/>
          <w:szCs w:val="58"/>
        </w:rPr>
      </w:pPr>
      <w:bookmarkStart w:colFirst="0" w:colLast="0" w:name="_5x0d5h95i329" w:id="0"/>
      <w:bookmarkEnd w:id="0"/>
      <w:r w:rsidDel="00000000" w:rsidR="00000000" w:rsidRPr="00000000">
        <w:rPr>
          <w:b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sz w:val="28"/>
          <w:szCs w:val="28"/>
        </w:rPr>
      </w:pPr>
      <w:bookmarkStart w:colFirst="0" w:colLast="0" w:name="_af80tl7prv5v" w:id="1"/>
      <w:bookmarkEnd w:id="1"/>
      <w:r w:rsidDel="00000000" w:rsidR="00000000" w:rsidRPr="00000000">
        <w:rPr>
          <w:b w:val="1"/>
          <w:sz w:val="28"/>
          <w:szCs w:val="28"/>
          <w:rtl w:val="0"/>
        </w:rPr>
        <w:t xml:space="preserve">1</w:t>
      </w:r>
      <w:r w:rsidDel="00000000" w:rsidR="00000000" w:rsidRPr="00000000">
        <w:rPr>
          <w:b w:val="1"/>
          <w:sz w:val="28"/>
          <w:szCs w:val="28"/>
          <w:vertAlign w:val="superscript"/>
          <w:rtl w:val="0"/>
        </w:rPr>
        <w:t xml:space="preserve">st</w:t>
      </w:r>
      <w:r w:rsidDel="00000000" w:rsidR="00000000" w:rsidRPr="00000000">
        <w:rPr>
          <w:b w:val="1"/>
          <w:sz w:val="28"/>
          <w:szCs w:val="28"/>
          <w:rtl w:val="0"/>
        </w:rPr>
        <w:t xml:space="preserve"> January 20XX</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rPr/>
      </w:pPr>
      <w:bookmarkStart w:colFirst="0" w:colLast="0" w:name="_e64wndl8jmz1"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08">
      <w:pPr>
        <w:pStyle w:val="Heading1"/>
        <w:pageBreakBefore w:val="0"/>
        <w:rPr>
          <w:i w:val="1"/>
        </w:rPr>
      </w:pPr>
      <w:bookmarkStart w:colFirst="0" w:colLast="0" w:name="_oymnw3nlvwib" w:id="5"/>
      <w:bookmarkEnd w:id="5"/>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09">
      <w:pPr>
        <w:spacing w:before="0" w:line="276" w:lineRule="auto"/>
        <w:rPr>
          <w:i w:val="1"/>
        </w:rPr>
      </w:pPr>
      <w:r w:rsidDel="00000000" w:rsidR="00000000" w:rsidRPr="00000000">
        <w:rPr>
          <w:rtl w:val="0"/>
        </w:rPr>
      </w:r>
    </w:p>
    <w:p w:rsidR="00000000" w:rsidDel="00000000" w:rsidP="00000000" w:rsidRDefault="00000000" w:rsidRPr="00000000" w14:paraId="0000000A">
      <w:pPr>
        <w:spacing w:before="0" w:line="276" w:lineRule="auto"/>
        <w:rPr>
          <w:i w:val="1"/>
        </w:rPr>
      </w:pPr>
      <w:r w:rsidDel="00000000" w:rsidR="00000000" w:rsidRPr="00000000">
        <w:rPr>
          <w:i w:val="1"/>
          <w:rtl w:val="0"/>
        </w:rPr>
        <w:t xml:space="preserve">The purpose of this vulnerability assessment is to understand the assets that are within the remote database server that is especially openly accessed worldwide from employees. It is also to understand the risks and vulnerabilities of the current access controls of the system, as the assets are openly available. In this case, the asset would be sensitive information for the company to garner new customers, which could include PII that can be a threat, should the organization were to lose or have the data stolen from malicious actors.</w:t>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6"/>
      <w:bookmarkEnd w:id="6"/>
      <w:r w:rsidDel="00000000" w:rsidR="00000000" w:rsidRPr="00000000">
        <w:rPr>
          <w:rtl w:val="0"/>
        </w:rPr>
        <w:t xml:space="preserve">Risk Assessment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Conduct “man-in-the-middle”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Alter/delete critical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Power outages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Disrupt mission-critical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2</w:t>
            </w:r>
          </w:p>
        </w:tc>
      </w:tr>
    </w:tbl>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Style w:val="Heading1"/>
        <w:rPr/>
      </w:pPr>
      <w:bookmarkStart w:colFirst="0" w:colLast="0" w:name="_a9ivkvfuz16w" w:id="7"/>
      <w:bookmarkEnd w:id="7"/>
      <w:r w:rsidDel="00000000" w:rsidR="00000000" w:rsidRPr="00000000">
        <w:rPr>
          <w:rtl w:val="0"/>
        </w:rPr>
        <w:t xml:space="preserve">Approach</w:t>
      </w:r>
    </w:p>
    <w:p w:rsidR="00000000" w:rsidDel="00000000" w:rsidP="00000000" w:rsidRDefault="00000000" w:rsidRPr="00000000" w14:paraId="00000023">
      <w:pPr>
        <w:rPr/>
      </w:pPr>
      <w:r w:rsidDel="00000000" w:rsidR="00000000" w:rsidRPr="00000000">
        <w:rPr>
          <w:rtl w:val="0"/>
        </w:rPr>
        <w:t xml:space="preserve">The three threat sources were chosen in this vulnerability assessment report, as these are potential risks that were considered, given the current data storage and management methods of the business. The likelihood of a threat occurrence and the impact of these potential events were weighed against the risks to day-to-day operational needs, and thus, were given risk scores in order to determine the priority of risks. In this case, a threat source from a hacker who could conduct a “man-in-the-middle” attack has a higher risk factor, due to the fact that the database server is open for global usage internally with employees. This would mean that an external source could access the database server from any networks that are connected to the database server, and the malicious actor could expose internal data that would highly affect the e-commerce business.</w:t>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8"/>
      <w:bookmarkEnd w:id="8"/>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of authentication, authorization, and auditing mechanisms to ensure that only authorized users access the database server. This includes using strong passwords, role-based access controls, and multi-factor authentication to limit user privileges. Encryption of data in motion using TLS instead of SSL. IP allow-listing to corporate offices to prevent random users from the internet from connecting to the database.</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pageBreakBefore w:val="0"/>
      <w:spacing w:before="320" w:line="240" w:lineRule="auto"/>
    </w:pPr>
    <w:rPr>
      <w:b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usp=sharing&amp;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