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The organization had recently experienced a distributed denial of service (DDoS) attack that compromised the internal network for two hours. The network services stopped responding due to an incoming flood of Internet Control Message Protocol (ICMP) packets, identified as an ICMP flood, which internal network traffic could not access any of the network resources, leaving internal employees from accessing the network to work on projects and tasks. The incident management team then responded by blocking incoming ICMP packets, stopped all non-critical network services offline, and restored critical network services.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i w:val="1"/>
              </w:rPr>
            </w:pPr>
            <w:r w:rsidDel="00000000" w:rsidR="00000000" w:rsidRPr="00000000">
              <w:rPr>
                <w:rFonts w:ascii="Google Sans" w:cs="Google Sans" w:eastAsia="Google Sans" w:hAnsi="Google Sans"/>
                <w:i w:val="1"/>
                <w:color w:val="0f1114"/>
                <w:highlight w:val="white"/>
                <w:rtl w:val="0"/>
              </w:rPr>
              <w:t xml:space="preserve">The </w:t>
            </w:r>
            <w:r w:rsidDel="00000000" w:rsidR="00000000" w:rsidRPr="00000000">
              <w:rPr>
                <w:rFonts w:ascii="Google Sans" w:cs="Google Sans" w:eastAsia="Google Sans" w:hAnsi="Google Sans"/>
                <w:i w:val="1"/>
                <w:color w:val="0f1114"/>
                <w:highlight w:val="white"/>
                <w:rtl w:val="0"/>
              </w:rPr>
              <w:t xml:space="preserve">company’s cybersecurity team investigated the DDoS attack, and it was found that a malicious actor had sent a flood of ICMP pings into the company’s network through an unconfigured firewall, allowing the attacker to overwhelm the company’s network through a DDoS attack. This was identified as an ICMP flood, where the attacker repeatedly sends ICMP packets to the network server. This forces the network server to use up all the bandwidths for incoming and outgoing traffic, and then crashing the server and compromising the internal network.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To address the vulnerability for the unconfigured firewall, the network security team implemented a new firewall rule to limit the rate of incoming ICMP packets, which resulted in the ICMP flood. Additionally, an IDS/IPS system to filter out some ICMP traffic based on suspicious characteristics.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The network security team implemented source IP verification on the firewall to check for spoofed IP addresses on incoming ICMP packets, and network monitoring software to detect abnormal traffic patterns.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In response to future security events, the network security team will contain affected network systems in order to prevent disruption to the entire network. The team should restore critical systems and events that were disrupted by the event, and analyze network logs for suspicious activities. The team will also report incidents and security events to upper management and legal enforcements, if needed.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will recover and restore the network services back to normal, so that the entire network is back online and employees can continue working. This includes restoring critical network services, ensuring the non-critical network services are back online, and then ensuring the ICMP flood has timed out before configuring the firewall for ICMP packet control, and then restoring all of the network services back online.</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tl w:val="0"/>
              </w:rPr>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