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Google Sans" w:cs="Google Sans" w:eastAsia="Google Sans" w:hAnsi="Google Sans"/>
        </w:rPr>
      </w:pPr>
      <w:bookmarkStart w:colFirst="0" w:colLast="0" w:name="_87tykp1u0l36" w:id="0"/>
      <w:bookmarkEnd w:id="0"/>
      <w:r w:rsidDel="00000000" w:rsidR="00000000" w:rsidRPr="00000000">
        <w:rPr>
          <w:rFonts w:ascii="Google Sans" w:cs="Google Sans" w:eastAsia="Google Sans" w:hAnsi="Google Sans"/>
          <w:rtl w:val="0"/>
        </w:rPr>
        <w:t xml:space="preserve">Controls and compliance checklist</w:t>
      </w:r>
    </w:p>
    <w:p w:rsidR="00000000" w:rsidDel="00000000" w:rsidP="00000000" w:rsidRDefault="00000000" w:rsidRPr="00000000" w14:paraId="00000002">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3">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To complete the controls assessment checklist, refer to the information provided in the </w:t>
      </w:r>
      <w:hyperlink r:id="rId7">
        <w:r w:rsidDel="00000000" w:rsidR="00000000" w:rsidRPr="00000000">
          <w:rPr>
            <w:rFonts w:ascii="Google Sans" w:cs="Google Sans" w:eastAsia="Google Sans" w:hAnsi="Google Sans"/>
            <w:color w:val="1155cc"/>
            <w:sz w:val="24"/>
            <w:szCs w:val="24"/>
            <w:u w:val="single"/>
            <w:rtl w:val="0"/>
          </w:rPr>
          <w:t xml:space="preserve">scope, goals, and risk assessment report</w:t>
        </w:r>
      </w:hyperlink>
      <w:r w:rsidDel="00000000" w:rsidR="00000000" w:rsidRPr="00000000">
        <w:rPr>
          <w:rFonts w:ascii="Google Sans" w:cs="Google Sans" w:eastAsia="Google Sans" w:hAnsi="Google Sans"/>
          <w:sz w:val="24"/>
          <w:szCs w:val="24"/>
          <w:rtl w:val="0"/>
        </w:rPr>
        <w:t xml:space="preserve">. For more details about each control, including the type and purpose, refer to the </w:t>
      </w:r>
      <w:hyperlink r:id="rId8">
        <w:r w:rsidDel="00000000" w:rsidR="00000000" w:rsidRPr="00000000">
          <w:rPr>
            <w:rFonts w:ascii="Google Sans" w:cs="Google Sans" w:eastAsia="Google Sans" w:hAnsi="Google Sans"/>
            <w:color w:val="1155cc"/>
            <w:sz w:val="24"/>
            <w:szCs w:val="24"/>
            <w:u w:val="single"/>
            <w:rtl w:val="0"/>
          </w:rPr>
          <w:t xml:space="preserve">control categories</w:t>
        </w:r>
      </w:hyperlink>
      <w:r w:rsidDel="00000000" w:rsidR="00000000" w:rsidRPr="00000000">
        <w:rPr>
          <w:rFonts w:ascii="Google Sans" w:cs="Google Sans" w:eastAsia="Google Sans" w:hAnsi="Google Sans"/>
          <w:sz w:val="24"/>
          <w:szCs w:val="24"/>
          <w:rtl w:val="0"/>
        </w:rPr>
        <w:t xml:space="preserve"> document.</w:t>
      </w:r>
    </w:p>
    <w:p w:rsidR="00000000" w:rsidDel="00000000" w:rsidP="00000000" w:rsidRDefault="00000000" w:rsidRPr="00000000" w14:paraId="00000004">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5">
      <w:pPr>
        <w:rPr>
          <w:rFonts w:ascii="Google Sans" w:cs="Google Sans" w:eastAsia="Google Sans" w:hAnsi="Google Sans"/>
          <w:i w:val="1"/>
          <w:sz w:val="24"/>
          <w:szCs w:val="24"/>
        </w:rPr>
      </w:pPr>
      <w:r w:rsidDel="00000000" w:rsidR="00000000" w:rsidRPr="00000000">
        <w:rPr>
          <w:rFonts w:ascii="Google Sans" w:cs="Google Sans" w:eastAsia="Google Sans" w:hAnsi="Google Sans"/>
          <w:sz w:val="24"/>
          <w:szCs w:val="24"/>
          <w:rtl w:val="0"/>
        </w:rPr>
        <w:t xml:space="preserve">Then, select “yes” or “no” to answer the question: </w:t>
      </w:r>
      <w:r w:rsidDel="00000000" w:rsidR="00000000" w:rsidRPr="00000000">
        <w:rPr>
          <w:rFonts w:ascii="Google Sans" w:cs="Google Sans" w:eastAsia="Google Sans" w:hAnsi="Google Sans"/>
          <w:i w:val="1"/>
          <w:sz w:val="24"/>
          <w:szCs w:val="24"/>
          <w:rtl w:val="0"/>
        </w:rPr>
        <w:t xml:space="preserve">Does Botium Toys currently have this control in place? </w:t>
      </w:r>
    </w:p>
    <w:p w:rsidR="00000000" w:rsidDel="00000000" w:rsidP="00000000" w:rsidRDefault="00000000" w:rsidRPr="00000000" w14:paraId="00000006">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7">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8">
      <w:pPr>
        <w:rPr>
          <w:rFonts w:ascii="Google Sans" w:cs="Google Sans" w:eastAsia="Google Sans" w:hAnsi="Google Sans"/>
          <w:sz w:val="26"/>
          <w:szCs w:val="26"/>
        </w:rPr>
      </w:pPr>
      <w:r w:rsidDel="00000000" w:rsidR="00000000" w:rsidRPr="00000000">
        <w:rPr>
          <w:rFonts w:ascii="Google Sans" w:cs="Google Sans" w:eastAsia="Google Sans" w:hAnsi="Google Sans"/>
          <w:b w:val="1"/>
          <w:sz w:val="24"/>
          <w:szCs w:val="24"/>
          <w:rtl w:val="0"/>
        </w:rPr>
        <w:t xml:space="preserve">Controls assessment checklist</w:t>
      </w:r>
      <w:r w:rsidDel="00000000" w:rsidR="00000000" w:rsidRPr="00000000">
        <w:rPr>
          <w:rtl w:val="0"/>
        </w:rPr>
      </w:r>
    </w:p>
    <w:p w:rsidR="00000000" w:rsidDel="00000000" w:rsidP="00000000" w:rsidRDefault="00000000" w:rsidRPr="00000000" w14:paraId="00000009">
      <w:pPr>
        <w:rPr>
          <w:rFonts w:ascii="Google Sans" w:cs="Google Sans" w:eastAsia="Google Sans" w:hAnsi="Google Sans"/>
        </w:rPr>
      </w:pPr>
      <w:r w:rsidDel="00000000" w:rsidR="00000000" w:rsidRPr="00000000">
        <w:rPr>
          <w:rtl w:val="0"/>
        </w:rPr>
      </w:r>
    </w:p>
    <w:tbl>
      <w:tblPr>
        <w:tblStyle w:val="Table1"/>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00"/>
        <w:gridCol w:w="945"/>
        <w:gridCol w:w="7515"/>
        <w:tblGridChange w:id="0">
          <w:tblGrid>
            <w:gridCol w:w="900"/>
            <w:gridCol w:w="945"/>
            <w:gridCol w:w="7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jc w:val="right"/>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  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jc w:val="center"/>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Control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numPr>
                <w:ilvl w:val="0"/>
                <w:numId w:val="4"/>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numPr>
                <w:ilvl w:val="0"/>
                <w:numId w:val="5"/>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Least Privilege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Disaster recovery plans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numPr>
                <w:ilvl w:val="0"/>
                <w:numId w:val="16"/>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numPr>
                <w:ilvl w:val="0"/>
                <w:numId w:val="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Password policies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numPr>
                <w:ilvl w:val="0"/>
                <w:numId w:val="14"/>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numPr>
                <w:ilvl w:val="0"/>
                <w:numId w:val="12"/>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Separation of duties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numPr>
                <w:ilvl w:val="0"/>
                <w:numId w:val="6"/>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numPr>
                <w:ilvl w:val="0"/>
                <w:numId w:val="11"/>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Firewall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numPr>
                <w:ilvl w:val="0"/>
                <w:numId w:val="17"/>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numPr>
                <w:ilvl w:val="0"/>
                <w:numId w:val="18"/>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Intrusion detection system (IDS)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numPr>
                <w:ilvl w:val="0"/>
                <w:numId w:val="2"/>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numPr>
                <w:ilvl w:val="0"/>
                <w:numId w:val="19"/>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Backups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numPr>
                <w:ilvl w:val="0"/>
                <w:numId w:val="15"/>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numPr>
                <w:ilvl w:val="0"/>
                <w:numId w:val="9"/>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Antivirus software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numPr>
                <w:ilvl w:val="0"/>
                <w:numId w:val="1"/>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numPr>
                <w:ilvl w:val="0"/>
                <w:numId w:val="10"/>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Manual monitoring, maintenance, and intervention for legacy systems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numPr>
                <w:ilvl w:val="0"/>
                <w:numId w:val="4"/>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numPr>
                <w:ilvl w:val="0"/>
                <w:numId w:val="5"/>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Encryption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Password management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Locks (offices, storefront, warehouse)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numPr>
                <w:ilvl w:val="0"/>
                <w:numId w:val="16"/>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numPr>
                <w:ilvl w:val="0"/>
                <w:numId w:val="3"/>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Closed-circuit television (CCTV) surveillance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numPr>
                <w:ilvl w:val="0"/>
                <w:numId w:val="8"/>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numPr>
                <w:ilvl w:val="0"/>
                <w:numId w:val="7"/>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Fire detection/prevention (fire alarm, sprinkler system, etc.)</w:t>
            </w:r>
          </w:p>
        </w:tc>
      </w:tr>
    </w:tbl>
    <w:p w:rsidR="00000000" w:rsidDel="00000000" w:rsidP="00000000" w:rsidRDefault="00000000" w:rsidRPr="00000000" w14:paraId="00000037">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38">
      <w:pPr>
        <w:rPr>
          <w:rFonts w:ascii="Google Sans" w:cs="Google Sans" w:eastAsia="Google Sans" w:hAnsi="Google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3A">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To complete the compliance checklist, refer to the information provided in the </w:t>
      </w:r>
      <w:hyperlink r:id="rId9">
        <w:r w:rsidDel="00000000" w:rsidR="00000000" w:rsidRPr="00000000">
          <w:rPr>
            <w:rFonts w:ascii="Google Sans" w:cs="Google Sans" w:eastAsia="Google Sans" w:hAnsi="Google Sans"/>
            <w:color w:val="1155cc"/>
            <w:sz w:val="24"/>
            <w:szCs w:val="24"/>
            <w:u w:val="single"/>
            <w:rtl w:val="0"/>
          </w:rPr>
          <w:t xml:space="preserve">scope, goals, and risk assessment report</w:t>
        </w:r>
      </w:hyperlink>
      <w:r w:rsidDel="00000000" w:rsidR="00000000" w:rsidRPr="00000000">
        <w:rPr>
          <w:rFonts w:ascii="Google Sans" w:cs="Google Sans" w:eastAsia="Google Sans" w:hAnsi="Google Sans"/>
          <w:sz w:val="24"/>
          <w:szCs w:val="24"/>
          <w:rtl w:val="0"/>
        </w:rPr>
        <w:t xml:space="preserve">. For more details about each compliance regulation, review the </w:t>
      </w:r>
      <w:hyperlink r:id="rId10">
        <w:r w:rsidDel="00000000" w:rsidR="00000000" w:rsidRPr="00000000">
          <w:rPr>
            <w:rFonts w:ascii="Google Sans" w:cs="Google Sans" w:eastAsia="Google Sans" w:hAnsi="Google Sans"/>
            <w:color w:val="1155cc"/>
            <w:sz w:val="24"/>
            <w:szCs w:val="24"/>
            <w:u w:val="single"/>
            <w:rtl w:val="0"/>
          </w:rPr>
          <w:t xml:space="preserve">controls, frameworks, and compliance</w:t>
        </w:r>
      </w:hyperlink>
      <w:r w:rsidDel="00000000" w:rsidR="00000000" w:rsidRPr="00000000">
        <w:rPr>
          <w:rFonts w:ascii="Google Sans" w:cs="Google Sans" w:eastAsia="Google Sans" w:hAnsi="Google Sans"/>
          <w:sz w:val="24"/>
          <w:szCs w:val="24"/>
          <w:rtl w:val="0"/>
        </w:rPr>
        <w:t xml:space="preserve"> reading.</w:t>
      </w:r>
    </w:p>
    <w:p w:rsidR="00000000" w:rsidDel="00000000" w:rsidP="00000000" w:rsidRDefault="00000000" w:rsidRPr="00000000" w14:paraId="0000003B">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3C">
      <w:pPr>
        <w:rPr>
          <w:rFonts w:ascii="Google Sans" w:cs="Google Sans" w:eastAsia="Google Sans" w:hAnsi="Google Sans"/>
          <w:i w:val="1"/>
          <w:sz w:val="24"/>
          <w:szCs w:val="24"/>
        </w:rPr>
      </w:pPr>
      <w:r w:rsidDel="00000000" w:rsidR="00000000" w:rsidRPr="00000000">
        <w:rPr>
          <w:rFonts w:ascii="Google Sans" w:cs="Google Sans" w:eastAsia="Google Sans" w:hAnsi="Google Sans"/>
          <w:sz w:val="24"/>
          <w:szCs w:val="24"/>
          <w:rtl w:val="0"/>
        </w:rPr>
        <w:t xml:space="preserve">Then, select “yes” or “no” to answer the question: </w:t>
      </w:r>
      <w:r w:rsidDel="00000000" w:rsidR="00000000" w:rsidRPr="00000000">
        <w:rPr>
          <w:rFonts w:ascii="Google Sans" w:cs="Google Sans" w:eastAsia="Google Sans" w:hAnsi="Google Sans"/>
          <w:i w:val="1"/>
          <w:sz w:val="24"/>
          <w:szCs w:val="24"/>
          <w:rtl w:val="0"/>
        </w:rPr>
        <w:t xml:space="preserve">Does Botium Toys currently adhere to this compliance best practice?</w:t>
      </w:r>
    </w:p>
    <w:p w:rsidR="00000000" w:rsidDel="00000000" w:rsidP="00000000" w:rsidRDefault="00000000" w:rsidRPr="00000000" w14:paraId="0000003D">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3E">
      <w:pPr>
        <w:rPr>
          <w:rFonts w:ascii="Google Sans" w:cs="Google Sans" w:eastAsia="Google Sans" w:hAnsi="Google Sans"/>
          <w:sz w:val="24"/>
          <w:szCs w:val="24"/>
        </w:rPr>
      </w:pPr>
      <w:r w:rsidDel="00000000" w:rsidR="00000000" w:rsidRPr="00000000">
        <w:rPr>
          <w:rFonts w:ascii="Google Sans" w:cs="Google Sans" w:eastAsia="Google Sans" w:hAnsi="Google Sans"/>
          <w:b w:val="1"/>
          <w:sz w:val="24"/>
          <w:szCs w:val="24"/>
          <w:rtl w:val="0"/>
        </w:rPr>
        <w:t xml:space="preserve">Compliance checklist</w:t>
      </w:r>
      <w:r w:rsidDel="00000000" w:rsidR="00000000" w:rsidRPr="00000000">
        <w:rPr>
          <w:rtl w:val="0"/>
        </w:rPr>
      </w:r>
    </w:p>
    <w:p w:rsidR="00000000" w:rsidDel="00000000" w:rsidP="00000000" w:rsidRDefault="00000000" w:rsidRPr="00000000" w14:paraId="0000003F">
      <w:pPr>
        <w:rPr>
          <w:rFonts w:ascii="Google Sans" w:cs="Google Sans" w:eastAsia="Google Sans" w:hAnsi="Google Sans"/>
          <w:b w:val="1"/>
          <w:sz w:val="24"/>
          <w:szCs w:val="24"/>
        </w:rPr>
      </w:pPr>
      <w:r w:rsidDel="00000000" w:rsidR="00000000" w:rsidRPr="00000000">
        <w:rPr>
          <w:rtl w:val="0"/>
        </w:rPr>
      </w:r>
    </w:p>
    <w:p w:rsidR="00000000" w:rsidDel="00000000" w:rsidP="00000000" w:rsidRDefault="00000000" w:rsidRPr="00000000" w14:paraId="00000040">
      <w:pPr>
        <w:spacing w:after="200" w:line="360" w:lineRule="auto"/>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Payment Card Industry Data Security Standard (PCI DSS)</w:t>
      </w:r>
    </w:p>
    <w:tbl>
      <w:tblPr>
        <w:tblStyle w:val="Table2"/>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30"/>
        <w:gridCol w:w="915"/>
        <w:gridCol w:w="7515"/>
        <w:tblGridChange w:id="0">
          <w:tblGrid>
            <w:gridCol w:w="930"/>
            <w:gridCol w:w="915"/>
            <w:gridCol w:w="7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jc w:val="right"/>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jc w:val="center"/>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Best practice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numPr>
                <w:ilvl w:val="0"/>
                <w:numId w:val="4"/>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numPr>
                <w:ilvl w:val="0"/>
                <w:numId w:val="5"/>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Only authorized users have access to customers’ credit card information.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Credit card information is stored, accepted, processed, and transmitted internally, in a secure environment.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numPr>
                <w:ilvl w:val="0"/>
                <w:numId w:val="16"/>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numPr>
                <w:ilvl w:val="0"/>
                <w:numId w:val="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Google Sans" w:cs="Google Sans" w:eastAsia="Google Sans" w:hAnsi="Google Sans"/>
                <w:sz w:val="24"/>
                <w:szCs w:val="24"/>
                <w:highlight w:val="yellow"/>
              </w:rPr>
            </w:pPr>
            <w:r w:rsidDel="00000000" w:rsidR="00000000" w:rsidRPr="00000000">
              <w:rPr>
                <w:rFonts w:ascii="Google Sans" w:cs="Google Sans" w:eastAsia="Google Sans" w:hAnsi="Google Sans"/>
                <w:sz w:val="24"/>
                <w:szCs w:val="24"/>
                <w:rtl w:val="0"/>
              </w:rPr>
              <w:t xml:space="preserve">Implement data encryption procedures to better secure credit card transaction touchpoints and data.</w:t>
            </w:r>
            <w:r w:rsidDel="00000000" w:rsidR="00000000" w:rsidRPr="00000000">
              <w:rPr>
                <w:rFonts w:ascii="Google Sans" w:cs="Google Sans" w:eastAsia="Google Sans" w:hAnsi="Google Sans"/>
                <w:sz w:val="24"/>
                <w:szCs w:val="24"/>
                <w:highlight w:val="yellow"/>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numPr>
                <w:ilvl w:val="0"/>
                <w:numId w:val="14"/>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numPr>
                <w:ilvl w:val="0"/>
                <w:numId w:val="12"/>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Adopt secure password management policies.</w:t>
            </w:r>
          </w:p>
        </w:tc>
      </w:tr>
    </w:tbl>
    <w:p w:rsidR="00000000" w:rsidDel="00000000" w:rsidP="00000000" w:rsidRDefault="00000000" w:rsidRPr="00000000" w14:paraId="00000050">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51">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52">
      <w:pPr>
        <w:spacing w:after="200" w:line="360" w:lineRule="auto"/>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General Data Protection Regulation (GDPR)</w:t>
      </w:r>
    </w:p>
    <w:tbl>
      <w:tblPr>
        <w:tblStyle w:val="Table3"/>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00"/>
        <w:gridCol w:w="945"/>
        <w:gridCol w:w="7515"/>
        <w:tblGridChange w:id="0">
          <w:tblGrid>
            <w:gridCol w:w="900"/>
            <w:gridCol w:w="945"/>
            <w:gridCol w:w="7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jc w:val="right"/>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jc w:val="center"/>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Best practice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numPr>
                <w:ilvl w:val="0"/>
                <w:numId w:val="4"/>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numPr>
                <w:ilvl w:val="0"/>
                <w:numId w:val="5"/>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E.U. customers’ data is kept private/secured.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There is a plan in place to notify E.U. customers within 72 hours if their data is compromised/there is a breach.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numPr>
                <w:ilvl w:val="0"/>
                <w:numId w:val="16"/>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numPr>
                <w:ilvl w:val="0"/>
                <w:numId w:val="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Ensure data is properly classified and inventoried.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numPr>
                <w:ilvl w:val="0"/>
                <w:numId w:val="14"/>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numPr>
                <w:ilvl w:val="0"/>
                <w:numId w:val="12"/>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Enforce privacy policies, procedures, and processes to properly document and maintain data.</w:t>
            </w:r>
          </w:p>
        </w:tc>
      </w:tr>
    </w:tbl>
    <w:p w:rsidR="00000000" w:rsidDel="00000000" w:rsidP="00000000" w:rsidRDefault="00000000" w:rsidRPr="00000000" w14:paraId="00000062">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63">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64">
      <w:pPr>
        <w:spacing w:after="2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u w:val="single"/>
          <w:rtl w:val="0"/>
        </w:rPr>
        <w:t xml:space="preserve">System and Organizations Controls (SOC type 1, SOC type 2)</w:t>
      </w:r>
      <w:r w:rsidDel="00000000" w:rsidR="00000000" w:rsidRPr="00000000">
        <w:rPr>
          <w:rFonts w:ascii="Google Sans" w:cs="Google Sans" w:eastAsia="Google Sans" w:hAnsi="Google Sans"/>
          <w:sz w:val="24"/>
          <w:szCs w:val="24"/>
          <w:rtl w:val="0"/>
        </w:rPr>
        <w:t xml:space="preserve"> </w:t>
      </w:r>
    </w:p>
    <w:tbl>
      <w:tblPr>
        <w:tblStyle w:val="Table4"/>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30"/>
        <w:gridCol w:w="915"/>
        <w:gridCol w:w="7515"/>
        <w:tblGridChange w:id="0">
          <w:tblGrid>
            <w:gridCol w:w="930"/>
            <w:gridCol w:w="915"/>
            <w:gridCol w:w="7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jc w:val="right"/>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jc w:val="center"/>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Best practice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numPr>
                <w:ilvl w:val="0"/>
                <w:numId w:val="4"/>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numPr>
                <w:ilvl w:val="0"/>
                <w:numId w:val="5"/>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User access policies are established.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Sensitive data (PII/SPII) is confidential/private.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numPr>
                <w:ilvl w:val="0"/>
                <w:numId w:val="16"/>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numPr>
                <w:ilvl w:val="0"/>
                <w:numId w:val="3"/>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Data integrity ensures the data is consistent, complete, accurate, and has been validated.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numPr>
                <w:ilvl w:val="0"/>
                <w:numId w:val="14"/>
              </w:numPr>
              <w:spacing w:line="240" w:lineRule="auto"/>
              <w:ind w:left="720" w:hanging="360"/>
              <w:jc w:val="both"/>
              <w:rPr>
                <w:rFonts w:ascii="Google Sans" w:cs="Google Sans" w:eastAsia="Google Sans" w:hAnsi="Google Sans"/>
                <w:sz w:val="24"/>
                <w:szCs w:val="24"/>
                <w:rPrChange w:author="Luka Masuda" w:id="0" w:date="2025-02-13T03:25:16Z">
                  <w:rPr>
                    <w:rFonts w:ascii="Google Sans" w:cs="Google Sans" w:eastAsia="Google Sans" w:hAnsi="Google Sans"/>
                    <w:sz w:val="24"/>
                    <w:szCs w:val="24"/>
                  </w:rPr>
                </w:rPrChange>
              </w:rPr>
              <w:pPrChange w:author="Luka Masuda" w:id="0" w:date="2025-02-13T03:25:16Z">
                <w:pPr>
                  <w:widowControl w:val="0"/>
                  <w:numPr>
                    <w:ilvl w:val="0"/>
                    <w:numId w:val="14"/>
                  </w:numPr>
                  <w:spacing w:line="240" w:lineRule="auto"/>
                  <w:ind w:left="720" w:hanging="360"/>
                  <w:jc w:val="both"/>
                </w:pPr>
              </w:pPrChange>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numPr>
                <w:ilvl w:val="0"/>
                <w:numId w:val="12"/>
              </w:numPr>
              <w:spacing w:line="240" w:lineRule="auto"/>
              <w:ind w:left="720" w:hanging="360"/>
              <w:jc w:val="both"/>
              <w:rPr>
                <w:rFonts w:ascii="Google Sans" w:cs="Google Sans" w:eastAsia="Google Sans" w:hAnsi="Google Sans"/>
                <w:sz w:val="24"/>
                <w:szCs w:val="24"/>
                <w:rPrChange w:author="Luka Masuda" w:id="1" w:date="2025-02-13T03:25:14Z">
                  <w:rPr>
                    <w:rFonts w:ascii="Google Sans" w:cs="Google Sans" w:eastAsia="Google Sans" w:hAnsi="Google Sans"/>
                    <w:sz w:val="24"/>
                    <w:szCs w:val="24"/>
                  </w:rPr>
                </w:rPrChange>
              </w:rPr>
              <w:pPrChange w:author="Luka Masuda" w:id="0" w:date="2025-02-13T03:25:14Z">
                <w:pPr>
                  <w:widowControl w:val="0"/>
                  <w:numPr>
                    <w:ilvl w:val="0"/>
                    <w:numId w:val="12"/>
                  </w:numPr>
                  <w:spacing w:line="240" w:lineRule="auto"/>
                  <w:ind w:left="720" w:hanging="360"/>
                  <w:jc w:val="both"/>
                </w:pPr>
              </w:pPrChange>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Data is available to individuals authorized to access it.</w:t>
            </w:r>
          </w:p>
        </w:tc>
      </w:tr>
    </w:tbl>
    <w:p w:rsidR="00000000" w:rsidDel="00000000" w:rsidP="00000000" w:rsidRDefault="00000000" w:rsidRPr="00000000" w14:paraId="00000074">
      <w:pPr>
        <w:spacing w:after="200" w:line="36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75">
      <w:pPr>
        <w:spacing w:after="200" w:line="360" w:lineRule="auto"/>
        <w:rPr>
          <w:rFonts w:ascii="Google Sans" w:cs="Google Sans" w:eastAsia="Google Sans" w:hAnsi="Google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spacing w:after="2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This section is </w:t>
      </w:r>
      <w:r w:rsidDel="00000000" w:rsidR="00000000" w:rsidRPr="00000000">
        <w:rPr>
          <w:rFonts w:ascii="Google Sans" w:cs="Google Sans" w:eastAsia="Google Sans" w:hAnsi="Google Sans"/>
          <w:i w:val="1"/>
          <w:sz w:val="24"/>
          <w:szCs w:val="24"/>
          <w:rtl w:val="0"/>
        </w:rPr>
        <w:t xml:space="preserve">optional</w:t>
      </w:r>
      <w:r w:rsidDel="00000000" w:rsidR="00000000" w:rsidRPr="00000000">
        <w:rPr>
          <w:rFonts w:ascii="Google Sans" w:cs="Google Sans" w:eastAsia="Google Sans" w:hAnsi="Google Sans"/>
          <w:sz w:val="24"/>
          <w:szCs w:val="24"/>
          <w:rtl w:val="0"/>
        </w:rPr>
        <w:t xml:space="preserve"> and can be used to provide a summary of recommendations to the IT manager regarding which controls and/or compliance best practices Botium Toys needs to implement, based on the risk posed if not implemented in a timely manner.</w:t>
      </w:r>
    </w:p>
    <w:p w:rsidR="00000000" w:rsidDel="00000000" w:rsidP="00000000" w:rsidRDefault="00000000" w:rsidRPr="00000000" w14:paraId="00000077">
      <w:pPr>
        <w:spacing w:after="200" w:line="360" w:lineRule="auto"/>
        <w:rPr/>
      </w:pPr>
      <w:commentRangeStart w:id="0"/>
      <w:r w:rsidDel="00000000" w:rsidR="00000000" w:rsidRPr="00000000">
        <w:rPr>
          <w:rFonts w:ascii="Google Sans" w:cs="Google Sans" w:eastAsia="Google Sans" w:hAnsi="Google Sans"/>
          <w:b w:val="1"/>
          <w:sz w:val="24"/>
          <w:szCs w:val="24"/>
          <w:rtl w:val="0"/>
        </w:rPr>
        <w:t xml:space="preserve">Recommendations (optional): </w:t>
      </w:r>
      <w:r w:rsidDel="00000000" w:rsidR="00000000" w:rsidRPr="00000000">
        <w:rPr>
          <w:rFonts w:ascii="Google Sans" w:cs="Google Sans" w:eastAsia="Google Sans" w:hAnsi="Google Sans"/>
          <w:sz w:val="24"/>
          <w:szCs w:val="24"/>
          <w:rtl w:val="0"/>
        </w:rPr>
        <w:t xml:space="preserve">In this section, provide recommendations, related to controls and/or compliance needs, that your IT manager could communicate to stakeholders to reduce risks to assets and improve Botium Toys’ security posture.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78">
      <w:pPr>
        <w:rPr>
          <w:i w:val="1"/>
        </w:rPr>
      </w:pPr>
      <w:r w:rsidDel="00000000" w:rsidR="00000000" w:rsidRPr="00000000">
        <w:rPr>
          <w:i w:val="1"/>
          <w:rtl w:val="0"/>
        </w:rPr>
        <w:t xml:space="preserve">Based on the controls and compliance checklist conducted based on Botium Toys’ scope, goals and risk assessment report, I would highly recommend for immediate action to first, have least privilege and separation of duties controls to be enforced. With all Botium Toys employees having access to internally stored data, this is not compliant with the PCI DSS, GDPR and SOC type 1 and SOC type 2 policies. Strengthening access controls to private and confidential customer data would be of utmost urgency in order to not only be compliant with the policies listed above, but to also prevent high risk assets from being compromised to Botium Toys internally, including confidential customer data. All employees should have least privileges, with administrative roles having access to stored cardholder and customer’s PII/SPII data to prevent damage to multiple accounts within the company. There should also be more than one person within the administrative role having access to customer data, to include the separation of duties. The next recommendation is to enable encryption of credit card information for payment processes within the company’s internal database. This would allow Botium Toys to be more compliant with PCI DSS policies, while also ensuring that high risk assets are not accessed easily by threat actors internally and externally. Another recommendation to be compliant with PCI DSS policies, is to adopt a stricter password policy that is in line with current minimum password complexity requirements (i.e. at least eight characters, a combination of letters and at least one number; special characters). This way, passwords can be stronger and more secure, preventing outside threat actors from decoding passwords. </w:t>
      </w:r>
    </w:p>
    <w:p w:rsidR="00000000" w:rsidDel="00000000" w:rsidP="00000000" w:rsidRDefault="00000000" w:rsidRPr="00000000" w14:paraId="00000079">
      <w:pPr>
        <w:rPr>
          <w:i w:val="1"/>
        </w:rPr>
      </w:pPr>
      <w:r w:rsidDel="00000000" w:rsidR="00000000" w:rsidRPr="00000000">
        <w:rPr>
          <w:rtl w:val="0"/>
        </w:rPr>
      </w:r>
    </w:p>
    <w:p w:rsidR="00000000" w:rsidDel="00000000" w:rsidP="00000000" w:rsidRDefault="00000000" w:rsidRPr="00000000" w14:paraId="0000007A">
      <w:pPr>
        <w:rPr>
          <w:i w:val="1"/>
        </w:rPr>
      </w:pPr>
      <w:r w:rsidDel="00000000" w:rsidR="00000000" w:rsidRPr="00000000">
        <w:rPr>
          <w:i w:val="1"/>
          <w:rtl w:val="0"/>
        </w:rPr>
        <w:t xml:space="preserve">One thing that should be kept in mind is a disaster recovery plan for the Botium Toys. Although there is a plan in place for a security breach, especially with notifying E.U. customers, high risk data should be identified and categorized in order to create and implement a recovery plan and backups to ensure everyday operations are not interrupted. One example would be cardholder data and customers’ PII/SPII, which is a high-risk asset, should that be compromised within the company, as it would affect the PCI DSS, GDPR, and SoC Type 1 and SoC Type 2 policies.</w:t>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uka Masuda" w:id="0" w:date="2025-02-13T03:26:06Z">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Multiple controls need to be implemented to improve Botium Toys’ security posture</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better ensure the confidentiality of sensitive information, including: Least Privilege, disaster recovery plans, password policies, separation of duties, an IDS, ongoing legacy</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system management, encryption, and a password management system.</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address gaps in compliance, Botium Toys needs to implement controls such as Least</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Privilege, separation of duties, and encryption. The company also needs to properly</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classify assets, to identify additional controls that may need to be implemented to</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improve their security posture and better protect sensitive information.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hyperlink" Target="https://www.coursera.org/learn/foundations-of-cybersecurity/supplement/xu4pr/controls-frameworks-and-compliance" TargetMode="External"/><Relationship Id="rId9" Type="http://schemas.openxmlformats.org/officeDocument/2006/relationships/hyperlink" Target="https://docs.google.com/document/d/1s2u_RuhRAI40JSh-eZHvaFsV1ZMxcNSWXifHDTOsgFc/template/preview"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ocs.google.com/document/d/1s2u_RuhRAI40JSh-eZHvaFsV1ZMxcNSWXifHDTOsgFc/template/preview#heading=h.evidx83t54sc" TargetMode="External"/><Relationship Id="rId8" Type="http://schemas.openxmlformats.org/officeDocument/2006/relationships/hyperlink" Target="https://docs.google.com/document/d/1btezuy_bMKWoK8pd97ZuzdWB9y6au_zfkrpkfVf8ktI/template/preview"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