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90F14">
      <w:pPr>
        <w:pStyle w:val="2"/>
        <w:spacing w:before="240" w:after="120"/>
        <w:rPr>
          <w:color w:val="auto"/>
        </w:rPr>
      </w:pPr>
      <w:r>
        <w:rPr>
          <w:rFonts w:ascii="Calibri" w:hAnsi="Calibri"/>
          <w:b/>
          <w:color w:val="auto"/>
          <w:sz w:val="36"/>
        </w:rPr>
        <w:t>Design Memo: Engineering Standards in Security Automation</w:t>
      </w:r>
    </w:p>
    <w:p w14:paraId="0EEFD3E6">
      <w:pPr>
        <w:spacing w:after="120" w:line="276" w:lineRule="auto"/>
        <w:rPr>
          <w:rFonts w:hint="default"/>
          <w:b/>
          <w:color w:val="auto"/>
          <w:lang w:val="en-US"/>
        </w:rPr>
      </w:pPr>
      <w:r>
        <w:rPr>
          <w:rFonts w:hint="default"/>
          <w:b/>
          <w:color w:val="auto"/>
          <w:lang w:val="en-US"/>
        </w:rPr>
        <w:t>Abdul Rehman</w:t>
      </w:r>
    </w:p>
    <w:p w14:paraId="792FA49D">
      <w:pPr>
        <w:spacing w:after="120" w:line="276" w:lineRule="auto"/>
        <w:rPr>
          <w:color w:val="auto"/>
        </w:rPr>
      </w:pPr>
      <w:r>
        <w:rPr>
          <w:b/>
          <w:color w:val="auto"/>
        </w:rPr>
        <w:t>Track</w:t>
      </w:r>
      <w:r>
        <w:rPr>
          <w:color w:val="auto"/>
        </w:rPr>
        <w:t>: AI, Automation &amp; Security Engineering</w:t>
      </w:r>
    </w:p>
    <w:p w14:paraId="3E73EDCB">
      <w:pPr>
        <w:spacing w:after="120" w:line="276" w:lineRule="auto"/>
        <w:rPr>
          <w:color w:val="auto"/>
        </w:rPr>
      </w:pPr>
      <w:r>
        <w:rPr>
          <w:b/>
          <w:color w:val="auto"/>
        </w:rPr>
        <w:t>Date</w:t>
      </w:r>
      <w:r>
        <w:rPr>
          <w:color w:val="auto"/>
        </w:rPr>
        <w:t xml:space="preserve">: July </w:t>
      </w:r>
      <w:r>
        <w:rPr>
          <w:rFonts w:hint="default"/>
          <w:color w:val="auto"/>
          <w:lang w:val="en-US"/>
        </w:rPr>
        <w:t>23</w:t>
      </w:r>
      <w:r>
        <w:rPr>
          <w:color w:val="auto"/>
        </w:rPr>
        <w:t>, 2026</w:t>
      </w:r>
    </w:p>
    <w:p w14:paraId="6E6D7B8B">
      <w:pPr>
        <w:pStyle w:val="3"/>
        <w:spacing w:before="240" w:after="80"/>
        <w:rPr>
          <w:color w:val="auto"/>
        </w:rPr>
      </w:pPr>
      <w:r>
        <w:rPr>
          <w:rFonts w:ascii="Calibri" w:hAnsi="Calibri"/>
          <w:b/>
          <w:color w:val="auto"/>
          <w:sz w:val="28"/>
        </w:rPr>
        <w:t>1. Introduction</w:t>
      </w:r>
    </w:p>
    <w:p w14:paraId="0C5DD173">
      <w:pPr>
        <w:spacing w:after="120" w:line="276" w:lineRule="auto"/>
        <w:rPr>
          <w:color w:val="auto"/>
        </w:rPr>
      </w:pPr>
      <w:r>
        <w:rPr>
          <w:color w:val="auto"/>
        </w:rPr>
        <w:t>Security automation is a critical component of modern defensive operations. It spans a wide range of tasks, from simple administrative utilities to real-time event processing platforms. However, security teams often struggle to apply the appropriate engineering standards to the tools they develop. Treating a temporary helper script as an enterprise pipeline leads to operational instability, while applying heavy software engineering methodologies to a personal utility wastes time. This design memo provides a framework comparing three distinct categories of security automation: Quick Scripts, Production Automation, and Security Engineering Pipelines. By detailing the standards for code structure, error handling, logging, testing, and documentation across these categories, we provide a roadmap for when and how security tools should be evolved to meet operational demands.</w:t>
      </w:r>
    </w:p>
    <w:p w14:paraId="76E64882">
      <w:pPr>
        <w:pStyle w:val="3"/>
        <w:spacing w:before="240" w:after="80"/>
        <w:rPr>
          <w:color w:val="auto"/>
        </w:rPr>
      </w:pPr>
      <w:bookmarkStart w:id="0" w:name="_GoBack"/>
      <w:bookmarkEnd w:id="0"/>
      <w:r>
        <w:rPr>
          <w:rFonts w:ascii="Calibri" w:hAnsi="Calibri"/>
          <w:b/>
          <w:color w:val="auto"/>
          <w:sz w:val="28"/>
        </w:rPr>
        <w:t>2. Category 1: Quick Scripts (One-Off &amp; Personal Use)</w:t>
      </w:r>
    </w:p>
    <w:p w14:paraId="2AEB5559">
      <w:pPr>
        <w:spacing w:after="120" w:line="276" w:lineRule="auto"/>
        <w:rPr>
          <w:color w:val="auto"/>
        </w:rPr>
      </w:pPr>
      <w:r>
        <w:rPr>
          <w:color w:val="auto"/>
        </w:rPr>
        <w:t>Quick Scripts are built to solve an immediate, transient problem for a single security analyst. They are tactical in nature.</w:t>
      </w:r>
    </w:p>
    <w:p w14:paraId="410226E1">
      <w:pPr>
        <w:pStyle w:val="4"/>
        <w:spacing w:before="120" w:after="40"/>
        <w:rPr>
          <w:color w:val="auto"/>
        </w:rPr>
      </w:pPr>
      <w:r>
        <w:rPr>
          <w:rFonts w:ascii="Calibri" w:hAnsi="Calibri"/>
          <w:b/>
          <w:color w:val="auto"/>
          <w:sz w:val="24"/>
        </w:rPr>
        <w:t>A. Core Architecture &amp; Standards</w:t>
      </w:r>
    </w:p>
    <w:p w14:paraId="37784301">
      <w:pPr>
        <w:pStyle w:val="23"/>
        <w:spacing w:after="120" w:line="276" w:lineRule="auto"/>
        <w:rPr>
          <w:color w:val="auto"/>
        </w:rPr>
      </w:pPr>
      <w:r>
        <w:rPr>
          <w:b/>
          <w:color w:val="auto"/>
        </w:rPr>
        <w:t>Code Structure &amp; Modularity</w:t>
      </w:r>
      <w:r>
        <w:rPr>
          <w:color w:val="auto"/>
        </w:rPr>
        <w:t>: Minimal structure. Typically written as a single, linear Python script (`.py` file) without complex function definitions, custom modules, or classes. Scripts make direct library calls, rely on global variables, and hard-code input and output parameters.</w:t>
      </w:r>
    </w:p>
    <w:p w14:paraId="59D0B9C8">
      <w:pPr>
        <w:pStyle w:val="23"/>
        <w:spacing w:after="120" w:line="276" w:lineRule="auto"/>
        <w:rPr>
          <w:color w:val="auto"/>
        </w:rPr>
      </w:pPr>
      <w:r>
        <w:rPr>
          <w:b/>
          <w:color w:val="auto"/>
        </w:rPr>
        <w:t>Error Handling</w:t>
      </w:r>
      <w:r>
        <w:rPr>
          <w:color w:val="auto"/>
        </w:rPr>
        <w:t>: Basic or non-existent. Scripts run in an interactive terminal, meaning runtime exceptions (like tracebacks) are acceptable. If the script crashes, the analyst manually corrects the input or code and re-runs it.</w:t>
      </w:r>
    </w:p>
    <w:p w14:paraId="5397173F">
      <w:pPr>
        <w:pStyle w:val="23"/>
        <w:spacing w:after="120" w:line="276" w:lineRule="auto"/>
        <w:rPr>
          <w:color w:val="auto"/>
        </w:rPr>
      </w:pPr>
      <w:r>
        <w:rPr>
          <w:b/>
          <w:color w:val="auto"/>
        </w:rPr>
        <w:t>Logging &amp; Observability</w:t>
      </w:r>
      <w:r>
        <w:rPr>
          <w:color w:val="auto"/>
        </w:rPr>
        <w:t>: Standard output prints (`print()`) are used to show execution progress. No structured logging (JSON), persistent log files, or metric collection are implemented.</w:t>
      </w:r>
    </w:p>
    <w:p w14:paraId="7F8EFC10">
      <w:pPr>
        <w:pStyle w:val="23"/>
        <w:spacing w:after="120" w:line="276" w:lineRule="auto"/>
        <w:rPr>
          <w:color w:val="auto"/>
        </w:rPr>
      </w:pPr>
      <w:r>
        <w:rPr>
          <w:b/>
          <w:color w:val="auto"/>
        </w:rPr>
        <w:t>Testing</w:t>
      </w:r>
      <w:r>
        <w:rPr>
          <w:color w:val="auto"/>
        </w:rPr>
        <w:t>: Manual testing. The analyst verifies correctness by running the script on a small set of live data and manually verifying the output.</w:t>
      </w:r>
    </w:p>
    <w:p w14:paraId="29609E95">
      <w:pPr>
        <w:pStyle w:val="23"/>
        <w:spacing w:after="120" w:line="276" w:lineRule="auto"/>
        <w:rPr>
          <w:color w:val="auto"/>
        </w:rPr>
      </w:pPr>
      <w:r>
        <w:rPr>
          <w:b/>
          <w:color w:val="auto"/>
        </w:rPr>
        <w:t>Documentation</w:t>
      </w:r>
      <w:r>
        <w:rPr>
          <w:color w:val="auto"/>
        </w:rPr>
        <w:t>: Minimal. A few inline comments or a short paragraph in a scratch pad explaining what the script does and its expected command line arguments.</w:t>
      </w:r>
    </w:p>
    <w:p w14:paraId="17DF137E">
      <w:pPr>
        <w:pStyle w:val="4"/>
        <w:spacing w:before="120" w:after="40"/>
        <w:rPr>
          <w:color w:val="auto"/>
        </w:rPr>
      </w:pPr>
      <w:r>
        <w:rPr>
          <w:rFonts w:ascii="Calibri" w:hAnsi="Calibri"/>
          <w:b/>
          <w:color w:val="auto"/>
          <w:sz w:val="24"/>
        </w:rPr>
        <w:t>B. Security Operations Example</w:t>
      </w:r>
    </w:p>
    <w:p w14:paraId="15631C80">
      <w:pPr>
        <w:spacing w:after="120" w:line="276" w:lineRule="auto"/>
        <w:rPr>
          <w:color w:val="auto"/>
        </w:rPr>
      </w:pPr>
      <w:r>
        <w:rPr>
          <w:color w:val="auto"/>
        </w:rPr>
        <w:t>An analyst needs to quickly parse a single, 100-line firewall log file (`firewall.csv`) on their local machine to extract all external IP addresses that attempted to connect to an internal database server over a specific weekend. The analyst writes a 15-line script with a simple loop, runs it once, copies the list of IPs, and deletes or archives the script.</w:t>
      </w:r>
    </w:p>
    <w:p w14:paraId="76DDA2BD">
      <w:pPr>
        <w:pStyle w:val="3"/>
        <w:spacing w:before="240" w:after="80"/>
        <w:rPr>
          <w:color w:val="auto"/>
        </w:rPr>
      </w:pPr>
      <w:r>
        <w:rPr>
          <w:rFonts w:ascii="Calibri" w:hAnsi="Calibri"/>
          <w:b/>
          <w:color w:val="auto"/>
          <w:sz w:val="28"/>
        </w:rPr>
        <w:t>3. Category 2: Production Automation (Team Tools &amp; Shared Utilities)</w:t>
      </w:r>
    </w:p>
    <w:p w14:paraId="1848ED20">
      <w:pPr>
        <w:spacing w:after="120" w:line="276" w:lineRule="auto"/>
        <w:rPr>
          <w:color w:val="auto"/>
        </w:rPr>
      </w:pPr>
      <w:r>
        <w:rPr>
          <w:color w:val="auto"/>
        </w:rPr>
        <w:t>Production Automation consists of tools developed for use by a team of analysts, run as scheduled cron jobs, or integrated into a shared portal. They are collaborative and must be reliable.</w:t>
      </w:r>
    </w:p>
    <w:p w14:paraId="5538D4EF">
      <w:pPr>
        <w:pStyle w:val="4"/>
        <w:spacing w:before="120" w:after="40"/>
        <w:rPr>
          <w:color w:val="auto"/>
        </w:rPr>
      </w:pPr>
      <w:r>
        <w:rPr>
          <w:rFonts w:ascii="Calibri" w:hAnsi="Calibri"/>
          <w:b/>
          <w:color w:val="auto"/>
          <w:sz w:val="24"/>
        </w:rPr>
        <w:t>A. Core Architecture &amp; Standards</w:t>
      </w:r>
    </w:p>
    <w:p w14:paraId="5C2A1238">
      <w:pPr>
        <w:pStyle w:val="23"/>
        <w:spacing w:after="120" w:line="276" w:lineRule="auto"/>
        <w:rPr>
          <w:color w:val="auto"/>
        </w:rPr>
      </w:pPr>
      <w:r>
        <w:rPr>
          <w:b/>
          <w:color w:val="auto"/>
        </w:rPr>
        <w:t>Code Structure</w:t>
      </w:r>
      <w:r>
        <w:rPr>
          <w:color w:val="auto"/>
        </w:rPr>
        <w:t>: Modular functions in multiple files. Uses configuration files (YAML, JSON) or environment variables instead of hard-coded paths. Exposes a CLI.</w:t>
      </w:r>
    </w:p>
    <w:p w14:paraId="24463321">
      <w:pPr>
        <w:pStyle w:val="23"/>
        <w:spacing w:after="120" w:line="276" w:lineRule="auto"/>
        <w:rPr>
          <w:color w:val="auto"/>
        </w:rPr>
      </w:pPr>
      <w:r>
        <w:rPr>
          <w:b/>
          <w:color w:val="auto"/>
        </w:rPr>
        <w:t>Error Handling</w:t>
      </w:r>
      <w:r>
        <w:rPr>
          <w:color w:val="auto"/>
        </w:rPr>
        <w:t>: Catches common exceptions (network timeout, missing files). Reports errors clearly without dumping tracebacks. Skips malformed inputs with warnings.</w:t>
      </w:r>
    </w:p>
    <w:p w14:paraId="2B34528A">
      <w:pPr>
        <w:pStyle w:val="23"/>
        <w:spacing w:after="120" w:line="276" w:lineRule="auto"/>
        <w:rPr>
          <w:color w:val="auto"/>
        </w:rPr>
      </w:pPr>
      <w:r>
        <w:rPr>
          <w:b/>
          <w:color w:val="auto"/>
        </w:rPr>
        <w:t>Logging &amp; Observability</w:t>
      </w:r>
      <w:r>
        <w:rPr>
          <w:color w:val="auto"/>
        </w:rPr>
        <w:t>: Structured logs using Python's `logging` library written to files/stdout with appropriate levels (INFO, WARNING, ERROR).</w:t>
      </w:r>
    </w:p>
    <w:p w14:paraId="126F797B">
      <w:pPr>
        <w:pStyle w:val="23"/>
        <w:spacing w:after="120" w:line="276" w:lineRule="auto"/>
        <w:rPr>
          <w:color w:val="auto"/>
        </w:rPr>
      </w:pPr>
      <w:r>
        <w:rPr>
          <w:b/>
          <w:color w:val="auto"/>
        </w:rPr>
        <w:t>Testing</w:t>
      </w:r>
      <w:r>
        <w:rPr>
          <w:color w:val="auto"/>
        </w:rPr>
        <w:t>: Supported by unit tests (e.g., `pytest`). Verifies edge cases and input validation.</w:t>
      </w:r>
    </w:p>
    <w:p w14:paraId="2275383B">
      <w:pPr>
        <w:pStyle w:val="23"/>
        <w:spacing w:after="120" w:line="276" w:lineRule="auto"/>
        <w:rPr>
          <w:color w:val="auto"/>
        </w:rPr>
      </w:pPr>
      <w:r>
        <w:rPr>
          <w:b/>
          <w:color w:val="auto"/>
        </w:rPr>
        <w:t>Documentation</w:t>
      </w:r>
      <w:r>
        <w:rPr>
          <w:color w:val="auto"/>
        </w:rPr>
        <w:t>: Standard README with setup steps, requirements, and usage examples.</w:t>
      </w:r>
    </w:p>
    <w:p w14:paraId="5490741F">
      <w:pPr>
        <w:pStyle w:val="4"/>
        <w:spacing w:before="120" w:after="40"/>
        <w:rPr>
          <w:color w:val="auto"/>
        </w:rPr>
      </w:pPr>
      <w:r>
        <w:rPr>
          <w:rFonts w:ascii="Calibri" w:hAnsi="Calibri"/>
          <w:b/>
          <w:color w:val="auto"/>
          <w:sz w:val="24"/>
        </w:rPr>
        <w:t>B. Security Operations Example</w:t>
      </w:r>
    </w:p>
    <w:p w14:paraId="29382241">
      <w:pPr>
        <w:spacing w:after="120" w:line="276" w:lineRule="auto"/>
        <w:rPr>
          <w:color w:val="auto"/>
        </w:rPr>
      </w:pPr>
      <w:r>
        <w:rPr>
          <w:color w:val="auto"/>
        </w:rPr>
        <w:t>A team needs to automatically gather hourly VPN authentication logs, parse them into JSON, and notify a Slack channel. If a VPN gateway goes offline, the script logs the failure and continues parsing other gateways.</w:t>
      </w:r>
    </w:p>
    <w:p w14:paraId="080BE21E">
      <w:pPr>
        <w:pStyle w:val="3"/>
        <w:spacing w:before="240" w:after="80"/>
        <w:rPr>
          <w:color w:val="auto"/>
        </w:rPr>
      </w:pPr>
      <w:r>
        <w:rPr>
          <w:rFonts w:ascii="Calibri" w:hAnsi="Calibri"/>
          <w:b/>
          <w:color w:val="auto"/>
          <w:sz w:val="28"/>
        </w:rPr>
        <w:t>4. Category 3: Security Engineering Pipelines (Enterprise-Grade Systems)</w:t>
      </w:r>
    </w:p>
    <w:p w14:paraId="0C8B2564">
      <w:pPr>
        <w:spacing w:after="120" w:line="276" w:lineRule="auto"/>
        <w:rPr>
          <w:color w:val="auto"/>
        </w:rPr>
      </w:pPr>
      <w:r>
        <w:rPr>
          <w:color w:val="auto"/>
        </w:rPr>
        <w:t>Pipelines are mission-critical, enterprise-grade software systems that ingest huge data volumes and feed SIEMs or SOAR platforms.</w:t>
      </w:r>
    </w:p>
    <w:p w14:paraId="0F8FCFEA">
      <w:pPr>
        <w:pStyle w:val="4"/>
        <w:spacing w:before="120" w:after="40"/>
        <w:rPr>
          <w:color w:val="auto"/>
        </w:rPr>
      </w:pPr>
      <w:r>
        <w:rPr>
          <w:rFonts w:ascii="Calibri" w:hAnsi="Calibri"/>
          <w:b/>
          <w:color w:val="auto"/>
          <w:sz w:val="24"/>
        </w:rPr>
        <w:t>A. Core Architecture &amp; Standards</w:t>
      </w:r>
    </w:p>
    <w:p w14:paraId="4D23E4E4">
      <w:pPr>
        <w:pStyle w:val="23"/>
        <w:spacing w:after="120" w:line="276" w:lineRule="auto"/>
        <w:rPr>
          <w:color w:val="auto"/>
        </w:rPr>
      </w:pPr>
      <w:r>
        <w:rPr>
          <w:b/>
          <w:color w:val="auto"/>
        </w:rPr>
        <w:t>Code Structure</w:t>
      </w:r>
      <w:r>
        <w:rPr>
          <w:color w:val="auto"/>
        </w:rPr>
        <w:t>: Object-oriented or serverless architectures (AWS Lambda, Kubernetes). Strictly enforces schemas (JSON Schema, Protobuf).</w:t>
      </w:r>
    </w:p>
    <w:p w14:paraId="414D7B6C">
      <w:pPr>
        <w:pStyle w:val="23"/>
        <w:spacing w:after="120" w:line="276" w:lineRule="auto"/>
        <w:rPr>
          <w:color w:val="auto"/>
        </w:rPr>
      </w:pPr>
      <w:r>
        <w:rPr>
          <w:b/>
          <w:color w:val="auto"/>
        </w:rPr>
        <w:t>Error Handling</w:t>
      </w:r>
      <w:r>
        <w:rPr>
          <w:color w:val="auto"/>
        </w:rPr>
        <w:t>: High availability. Implements fault-tolerant patterns: dead-letter queues (DLQs), circuit breakers, and automatic retries.</w:t>
      </w:r>
    </w:p>
    <w:p w14:paraId="3B6B745D">
      <w:pPr>
        <w:pStyle w:val="23"/>
        <w:spacing w:after="120" w:line="276" w:lineRule="auto"/>
        <w:rPr>
          <w:color w:val="auto"/>
        </w:rPr>
      </w:pPr>
      <w:r>
        <w:rPr>
          <w:b/>
          <w:color w:val="auto"/>
        </w:rPr>
        <w:t>Logging &amp; Observability</w:t>
      </w:r>
      <w:r>
        <w:rPr>
          <w:color w:val="auto"/>
        </w:rPr>
        <w:t>: Centralized JSON logs shipped to Splunk or Elasticsearch. Emits latency, throughput, and CPU/memory metrics to Grafana.</w:t>
      </w:r>
    </w:p>
    <w:p w14:paraId="0897A72D">
      <w:pPr>
        <w:pStyle w:val="23"/>
        <w:spacing w:after="120" w:line="276" w:lineRule="auto"/>
        <w:rPr>
          <w:color w:val="auto"/>
        </w:rPr>
      </w:pPr>
      <w:r>
        <w:rPr>
          <w:b/>
          <w:color w:val="auto"/>
        </w:rPr>
        <w:t>Testing</w:t>
      </w:r>
      <w:r>
        <w:rPr>
          <w:color w:val="auto"/>
        </w:rPr>
        <w:t>: Complete CI/CD testing suites (unit, integration, scale/performance stress test, SAST) run on every commit.</w:t>
      </w:r>
    </w:p>
    <w:p w14:paraId="334A240A">
      <w:pPr>
        <w:pStyle w:val="23"/>
        <w:spacing w:after="120" w:line="276" w:lineRule="auto"/>
        <w:rPr>
          <w:color w:val="auto"/>
        </w:rPr>
      </w:pPr>
      <w:r>
        <w:rPr>
          <w:b/>
          <w:color w:val="auto"/>
        </w:rPr>
        <w:t>Documentation</w:t>
      </w:r>
      <w:r>
        <w:rPr>
          <w:color w:val="auto"/>
        </w:rPr>
        <w:t>: System architecture diagrams, API docs, and runbooks for troubleshooting pipeline failures.</w:t>
      </w:r>
    </w:p>
    <w:p w14:paraId="1971DF1B">
      <w:pPr>
        <w:pStyle w:val="4"/>
        <w:spacing w:before="120" w:after="40"/>
        <w:rPr>
          <w:color w:val="auto"/>
        </w:rPr>
      </w:pPr>
      <w:r>
        <w:rPr>
          <w:rFonts w:ascii="Calibri" w:hAnsi="Calibri"/>
          <w:b/>
          <w:color w:val="auto"/>
          <w:sz w:val="24"/>
        </w:rPr>
        <w:t>B. Security Operations Example</w:t>
      </w:r>
    </w:p>
    <w:p w14:paraId="571C248E">
      <w:pPr>
        <w:spacing w:after="120" w:line="276" w:lineRule="auto"/>
        <w:rPr>
          <w:color w:val="auto"/>
        </w:rPr>
      </w:pPr>
      <w:r>
        <w:rPr>
          <w:color w:val="auto"/>
        </w:rPr>
        <w:t>An enterprise network security pipeline processes 10,000 events per second. It normalizes, enriches, detects threat signatures, and triggers automated firewall blocking. It runs in a containerized cloud environment with auto-scaling and zero-downtime deployments.</w:t>
      </w:r>
    </w:p>
    <w:p w14:paraId="0211035A">
      <w:pPr>
        <w:pStyle w:val="3"/>
        <w:spacing w:before="240" w:after="80"/>
        <w:rPr>
          <w:color w:val="auto"/>
        </w:rPr>
      </w:pPr>
      <w:r>
        <w:rPr>
          <w:rFonts w:ascii="Calibri" w:hAnsi="Calibri"/>
          <w:b/>
          <w:color w:val="auto"/>
          <w:sz w:val="28"/>
        </w:rPr>
        <w:t>5. Decision Criteria: When to Transition</w:t>
      </w:r>
    </w:p>
    <w:p w14:paraId="2D3B26F8">
      <w:pPr>
        <w:spacing w:after="120" w:line="276" w:lineRule="auto"/>
        <w:rPr>
          <w:color w:val="auto"/>
        </w:rPr>
      </w:pPr>
      <w:r>
        <w:rPr>
          <w:color w:val="auto"/>
        </w:rPr>
        <w:t>Transitioning should be driven by operational risk and the size of the user base:</w:t>
      </w:r>
    </w:p>
    <w:p w14:paraId="52100AB6">
      <w:pPr>
        <w:spacing w:after="120" w:line="276" w:lineRule="auto"/>
        <w:rPr>
          <w:color w:val="auto"/>
        </w:rPr>
      </w:pPr>
      <w:r>
        <w:rPr>
          <w:color w:val="auto"/>
        </w:rPr>
        <w:t xml:space="preserve">1. </w:t>
      </w:r>
      <w:r>
        <w:rPr>
          <w:b/>
          <w:color w:val="auto"/>
        </w:rPr>
        <w:t>Quick Script to Production Automation</w:t>
      </w:r>
      <w:r>
        <w:rPr>
          <w:color w:val="auto"/>
        </w:rPr>
        <w:t>: Transition when the tool is scheduled (e.g., hourly cron), is shared with other analysts, or if its failure delays incident containment.</w:t>
      </w:r>
    </w:p>
    <w:p w14:paraId="0EEC477B">
      <w:pPr>
        <w:spacing w:after="120" w:line="276" w:lineRule="auto"/>
        <w:rPr>
          <w:color w:val="auto"/>
        </w:rPr>
      </w:pPr>
      <w:r>
        <w:rPr>
          <w:color w:val="auto"/>
        </w:rPr>
        <w:t xml:space="preserve">2. </w:t>
      </w:r>
      <w:r>
        <w:rPr>
          <w:b/>
          <w:color w:val="auto"/>
        </w:rPr>
        <w:t>Production Automation to Pipeline</w:t>
      </w:r>
      <w:r>
        <w:rPr>
          <w:color w:val="auto"/>
        </w:rPr>
        <w:t>: Transition when the tool handles high data volume (e.g., &gt;1,000 events/sec), supports automated blocking (SOAR), or its downtime directly violates compliance mandates.</w:t>
      </w:r>
    </w:p>
    <w:p w14:paraId="2CFF29A6">
      <w:pPr>
        <w:pStyle w:val="4"/>
        <w:spacing w:before="120" w:after="40"/>
        <w:rPr>
          <w:color w:val="auto"/>
        </w:rPr>
      </w:pPr>
      <w:r>
        <w:rPr>
          <w:rFonts w:ascii="Calibri" w:hAnsi="Calibri"/>
          <w:b/>
          <w:color w:val="auto"/>
          <w:sz w:val="24"/>
        </w:rPr>
        <w:t>AI Assistance Note</w:t>
      </w:r>
    </w:p>
    <w:p w14:paraId="7B9B0F50">
      <w:pPr>
        <w:spacing w:after="120" w:line="276" w:lineRule="auto"/>
        <w:rPr>
          <w:color w:val="auto"/>
        </w:rPr>
      </w:pPr>
      <w:r>
        <w:rPr>
          <w:color w:val="auto"/>
        </w:rPr>
        <w:t>This document was drafted with the assistance of the Google Gemini AI model. The AI was used to format headings, ensure compliance with the word count guidelines, and provide detailed structural comparisons for error handling and testing across the three categories. The final engineering recommendations and transition criteria were reviewed and validated by the author.</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A722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399</Words>
  <Characters>2346</Characters>
  <Lines>0</Lines>
  <Paragraphs>0</Paragraphs>
  <TotalTime>0</TotalTime>
  <ScaleCrop>false</ScaleCrop>
  <LinksUpToDate>false</LinksUpToDate>
  <CharactersWithSpaces>2727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John Doe</cp:lastModifiedBy>
  <dcterms:modified xsi:type="dcterms:W3CDTF">2026-07-22T16:00:46Z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eyJoZGlkIjoiMmVlZjhiZDJjNzdlMmI1OGU5YjUzZjgxNGE4NmE5ZTQiLCJ1c2VySWQiOiI4ODEzOTc0MDA2NjI1In0=</vt:lpwstr>
  </property>
  <property fmtid="{D5CDD505-2E9C-101B-9397-08002B2CF9AE}" pid="3" name="KSOProductBuildVer">
    <vt:lpwstr>1033-12.1.0.27458</vt:lpwstr>
  </property>
  <property fmtid="{D5CDD505-2E9C-101B-9397-08002B2CF9AE}" pid="4" name="ICV">
    <vt:lpwstr>F0DD1BAA779C45268A250051B107C3A6_12</vt:lpwstr>
  </property>
</Properties>
</file>