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4D41" w14:textId="17C99E25" w:rsidR="00B1768C" w:rsidRDefault="00000000" w:rsidP="00C30276">
      <w:pPr>
        <w:pStyle w:val="Title"/>
      </w:pPr>
      <w:r>
        <w:t xml:space="preserve">Packet Tracer – Demonstração de lista de controle de acesso </w:t>
      </w:r>
    </w:p>
    <w:p w14:paraId="28F09ACB" w14:textId="77777777" w:rsidR="00B1768C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316F31F7" w14:textId="77777777" w:rsidR="00B1768C" w:rsidRDefault="00000000">
      <w:pPr>
        <w:pStyle w:val="BodyTextL25Bold"/>
      </w:pPr>
      <w:r>
        <w:t>Parte 1: Verificar a conectividade local e testar a lista de controle de acesso</w:t>
      </w:r>
    </w:p>
    <w:p w14:paraId="11DCB0DE" w14:textId="77777777" w:rsidR="00B1768C" w:rsidRDefault="00000000">
      <w:pPr>
        <w:pStyle w:val="BodyTextL25Bold"/>
      </w:pPr>
      <w:r>
        <w:t>Parte 2: Remover a lista de controle de acesso e repetir o teste</w:t>
      </w:r>
    </w:p>
    <w:p w14:paraId="5A79E9D9" w14:textId="77777777" w:rsidR="00B1768C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Contexto</w:t>
      </w:r>
    </w:p>
    <w:p w14:paraId="120D0253" w14:textId="77777777" w:rsidR="00B1768C" w:rsidRDefault="00000000">
      <w:pPr>
        <w:pStyle w:val="BodyTextL25"/>
      </w:pPr>
      <w:r>
        <w:t>Nesta atividade, você observará como uma lista de controle de acesso (ACL) pode ser usada para impedir que um ping alcance hosts em redes remotas. Após remover a ACL da configuração, os pings terão êxito.</w:t>
      </w:r>
    </w:p>
    <w:p w14:paraId="181EF17D" w14:textId="77777777" w:rsidR="00B1768C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7622F8E3" w14:textId="77777777" w:rsidR="00B1768C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Parte 1: Verificar a conectividade local e testar a lista de controle de acesso</w:t>
      </w:r>
    </w:p>
    <w:p w14:paraId="36B30A50" w14:textId="77777777" w:rsidR="00B1768C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Etapa 1: Efetuar ping de dispositivos na rede local para verificar a conectividade.</w:t>
      </w:r>
    </w:p>
    <w:p w14:paraId="0D9F5DA2" w14:textId="77777777" w:rsidR="00B1768C" w:rsidRDefault="00000000">
      <w:pPr>
        <w:pStyle w:val="SubStepAlpha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Do prompt de comando de </w:t>
      </w:r>
      <w:r>
        <w:rPr>
          <w:b/>
          <w:bCs/>
        </w:rPr>
        <w:t>PC1</w:t>
      </w:r>
      <w:r>
        <w:t xml:space="preserve">, ping </w:t>
      </w:r>
      <w:r>
        <w:rPr>
          <w:b/>
          <w:bCs/>
        </w:rPr>
        <w:t>PC2</w:t>
      </w:r>
      <w:r>
        <w:t>.</w:t>
      </w:r>
    </w:p>
    <w:p w14:paraId="35D7B6AA" w14:textId="77777777" w:rsidR="00B1768C" w:rsidRDefault="00000000">
      <w:pPr>
        <w:pStyle w:val="SubStepAlpha"/>
        <w:spacing w:after="0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Do prompt de comando de </w:t>
      </w:r>
      <w:r>
        <w:rPr>
          <w:b/>
          <w:bCs/>
        </w:rPr>
        <w:t>PC1</w:t>
      </w:r>
      <w:r>
        <w:t xml:space="preserve">, ping </w:t>
      </w:r>
      <w:r>
        <w:rPr>
          <w:b/>
          <w:bCs/>
        </w:rPr>
        <w:t>PC3</w:t>
      </w:r>
      <w:r>
        <w:t>.</w:t>
      </w:r>
    </w:p>
    <w:p w14:paraId="2F87750B" w14:textId="77777777" w:rsidR="00B1768C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Pergunta:</w:t>
      </w:r>
    </w:p>
    <w:p w14:paraId="7AA2064D" w14:textId="77777777" w:rsidR="00B1768C" w:rsidRDefault="00000000">
      <w:pPr>
        <w:pStyle w:val="BodyTextL50"/>
        <w:spacing w:before="0"/>
      </w:pPr>
      <w:r>
        <w:t>Os pings tiveram êxito?</w:t>
      </w:r>
    </w:p>
    <w:p w14:paraId="34D8B9F9" w14:textId="77777777" w:rsidR="00B1768C" w:rsidRDefault="00000000">
      <w:pPr>
        <w:pStyle w:val="AnswerLineL50"/>
      </w:pPr>
      <w:r>
        <w:t>Digite suas respostas aqui.</w:t>
      </w:r>
    </w:p>
    <w:p w14:paraId="75262E73" w14:textId="77777777" w:rsidR="00B1768C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Etapa 2: Executar ping em dispositivos em redes remotas para testar a funcionalidade ACL.</w:t>
      </w:r>
    </w:p>
    <w:p w14:paraId="54D0EB63" w14:textId="77777777" w:rsidR="00B1768C" w:rsidRDefault="00000000">
      <w:pPr>
        <w:pStyle w:val="SubStepAlpha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Do prompt de comando de</w:t>
      </w:r>
      <w:r>
        <w:rPr>
          <w:b/>
          <w:bCs/>
        </w:rPr>
        <w:t>PC1</w:t>
      </w:r>
      <w:r>
        <w:t xml:space="preserve">, ping </w:t>
      </w:r>
      <w:r>
        <w:rPr>
          <w:b/>
          <w:bCs/>
        </w:rPr>
        <w:t>PC4</w:t>
      </w:r>
      <w:r>
        <w:t>.</w:t>
      </w:r>
    </w:p>
    <w:p w14:paraId="6DE3074F" w14:textId="77777777" w:rsidR="00B1768C" w:rsidRDefault="00000000">
      <w:pPr>
        <w:pStyle w:val="SubStepAlpha"/>
        <w:spacing w:after="0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Do prompt de comando de </w:t>
      </w:r>
      <w:r>
        <w:rPr>
          <w:b/>
          <w:bCs/>
        </w:rPr>
        <w:t>PC1</w:t>
      </w:r>
      <w:r>
        <w:t xml:space="preserve">, ping o </w:t>
      </w:r>
      <w:r>
        <w:rPr>
          <w:b/>
          <w:bCs/>
        </w:rPr>
        <w:t>DNS Server</w:t>
      </w:r>
      <w:r>
        <w:t>.</w:t>
      </w:r>
    </w:p>
    <w:p w14:paraId="399C5371" w14:textId="77777777" w:rsidR="00B1768C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Pergunta:</w:t>
      </w:r>
    </w:p>
    <w:p w14:paraId="3D39E5B3" w14:textId="77777777" w:rsidR="00B1768C" w:rsidRDefault="00000000">
      <w:pPr>
        <w:pStyle w:val="BodyTextL50"/>
        <w:spacing w:before="0"/>
      </w:pPr>
      <w:r>
        <w:t>Por que o ping falhou? (Dica: use o modo de simulação ou visualize as configurações do roteador para investigar.)</w:t>
      </w:r>
    </w:p>
    <w:p w14:paraId="712DE116" w14:textId="77777777" w:rsidR="00B1768C" w:rsidRDefault="00000000">
      <w:pPr>
        <w:pStyle w:val="AnswerLineL50"/>
      </w:pPr>
      <w:r>
        <w:t>Digite suas respostas aqui.</w:t>
      </w:r>
    </w:p>
    <w:p w14:paraId="741A6F8D" w14:textId="77777777" w:rsidR="00B1768C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Parte 2: Remover ACL e repetir o teste</w:t>
      </w:r>
    </w:p>
    <w:p w14:paraId="35365987" w14:textId="77777777" w:rsidR="00B1768C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Etapa 1: Use os comandos show para investigar a configuração ACL.</w:t>
      </w:r>
    </w:p>
    <w:p w14:paraId="011559B4" w14:textId="77777777" w:rsidR="00B1768C" w:rsidRDefault="00000000">
      <w:pPr>
        <w:pStyle w:val="SubStepAlpha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Use os comandos </w:t>
      </w:r>
      <w:r>
        <w:rPr>
          <w:b/>
          <w:bCs/>
        </w:rPr>
        <w:t>show run</w:t>
      </w:r>
      <w:r>
        <w:t xml:space="preserve"> e </w:t>
      </w:r>
      <w:r>
        <w:rPr>
          <w:b/>
          <w:bCs/>
        </w:rPr>
        <w:t>show access-lists</w:t>
      </w:r>
      <w:r>
        <w:t xml:space="preserve">para visualizar as ACLs atualmente configuradas. Para visualizar rapidamente as ACLs atuais, use </w:t>
      </w:r>
      <w:r>
        <w:rPr>
          <w:b/>
          <w:bCs/>
        </w:rPr>
        <w:t>show access-lists</w:t>
      </w:r>
      <w:r>
        <w:t xml:space="preserve">. Entre o comando </w:t>
      </w:r>
      <w:r>
        <w:rPr>
          <w:b/>
          <w:bCs/>
        </w:rPr>
        <w:t>show access-lists</w:t>
      </w:r>
      <w:r>
        <w:t xml:space="preserve"> seguido por um espaço e um ponto de interrogação (?) para ver as opções disponíveis:</w:t>
      </w:r>
    </w:p>
    <w:p w14:paraId="2B1EF0B6" w14:textId="77777777" w:rsidR="00B1768C" w:rsidRPr="00C30276" w:rsidRDefault="00000000">
      <w:pPr>
        <w:pStyle w:val="CMD"/>
        <w:rPr>
          <w:lang w:val="en-IN"/>
        </w:rPr>
      </w:pPr>
      <w:r w:rsidRPr="00C30276">
        <w:rPr>
          <w:lang w:val="en-IN"/>
        </w:rPr>
        <w:t xml:space="preserve">R1# </w:t>
      </w:r>
      <w:r w:rsidRPr="00C30276">
        <w:rPr>
          <w:b/>
          <w:bCs/>
          <w:lang w:val="en-IN"/>
        </w:rPr>
        <w:t>show access-lists ?</w:t>
      </w:r>
    </w:p>
    <w:p w14:paraId="5D0530F0" w14:textId="77777777" w:rsidR="00B1768C" w:rsidRPr="00C30276" w:rsidRDefault="00000000">
      <w:pPr>
        <w:pStyle w:val="CMD"/>
        <w:rPr>
          <w:lang w:val="en-IN"/>
        </w:rPr>
      </w:pPr>
      <w:r w:rsidRPr="00C30276">
        <w:rPr>
          <w:lang w:val="en-IN"/>
        </w:rPr>
        <w:t>&lt;1-199&gt; ACL number</w:t>
      </w:r>
    </w:p>
    <w:p w14:paraId="2B333CB8" w14:textId="77777777" w:rsidR="00B1768C" w:rsidRDefault="00000000">
      <w:pPr>
        <w:pStyle w:val="CMD"/>
      </w:pPr>
      <w:r>
        <w:t>WORD ACL name</w:t>
      </w:r>
    </w:p>
    <w:p w14:paraId="67AD329D" w14:textId="77777777" w:rsidR="00B1768C" w:rsidRDefault="00000000">
      <w:pPr>
        <w:pStyle w:val="CMD"/>
      </w:pPr>
      <w:r>
        <w:t>  &lt;cr&gt;</w:t>
      </w:r>
    </w:p>
    <w:p w14:paraId="7A7B8DB8" w14:textId="77777777" w:rsidR="00B1768C" w:rsidRDefault="00000000">
      <w:pPr>
        <w:pStyle w:val="BodyTextL50"/>
      </w:pPr>
      <w:r>
        <w:t xml:space="preserve">Se você souber o número ou nome da ACL, pode filtrar a saída do </w:t>
      </w:r>
      <w:r>
        <w:rPr>
          <w:b/>
          <w:bCs/>
        </w:rPr>
        <w:t>show</w:t>
      </w:r>
      <w:r>
        <w:t xml:space="preserve"> ainda mais. Contudo, </w:t>
      </w:r>
      <w:r>
        <w:rPr>
          <w:b/>
          <w:bCs/>
        </w:rPr>
        <w:t xml:space="preserve">R1 </w:t>
      </w:r>
      <w:r>
        <w:t xml:space="preserve">tem apenas uma ACL; Portanto, o comando </w:t>
      </w:r>
      <w:r>
        <w:rPr>
          <w:b/>
          <w:bCs/>
        </w:rPr>
        <w:t xml:space="preserve">show access-lists </w:t>
      </w:r>
      <w:r>
        <w:t>será suficiente.</w:t>
      </w:r>
    </w:p>
    <w:p w14:paraId="70F8C021" w14:textId="77777777" w:rsidR="00B1768C" w:rsidRPr="00C30276" w:rsidRDefault="00000000">
      <w:pPr>
        <w:pStyle w:val="CMD"/>
        <w:rPr>
          <w:lang w:val="en-IN"/>
        </w:rPr>
      </w:pPr>
      <w:r w:rsidRPr="00C30276">
        <w:rPr>
          <w:lang w:val="en-IN"/>
        </w:rPr>
        <w:t xml:space="preserve">R1# </w:t>
      </w:r>
      <w:r w:rsidRPr="00C30276">
        <w:rPr>
          <w:b/>
          <w:bCs/>
          <w:lang w:val="en-IN"/>
        </w:rPr>
        <w:t>show access-lists</w:t>
      </w:r>
      <w:r w:rsidRPr="00C30276">
        <w:rPr>
          <w:lang w:val="en-IN"/>
        </w:rPr>
        <w:t xml:space="preserve"> </w:t>
      </w:r>
    </w:p>
    <w:p w14:paraId="11EFAE99" w14:textId="77777777" w:rsidR="00B1768C" w:rsidRPr="00C30276" w:rsidRDefault="00000000">
      <w:pPr>
        <w:pStyle w:val="CMDOutput"/>
        <w:rPr>
          <w:lang w:val="en-IN"/>
        </w:rPr>
      </w:pPr>
      <w:r w:rsidRPr="00C30276">
        <w:rPr>
          <w:lang w:val="en-IN"/>
        </w:rPr>
        <w:t>Standard IP access list 11</w:t>
      </w:r>
    </w:p>
    <w:p w14:paraId="3309D9C2" w14:textId="77777777" w:rsidR="00B1768C" w:rsidRDefault="00000000">
      <w:pPr>
        <w:pStyle w:val="CMDOutput"/>
      </w:pPr>
      <w:r>
        <w:t>10 deny 192.168.10.0 0.0.0.255</w:t>
      </w:r>
    </w:p>
    <w:p w14:paraId="1BF3A778" w14:textId="77777777" w:rsidR="00B1768C" w:rsidRDefault="00000000">
      <w:pPr>
        <w:pStyle w:val="CMDOutput"/>
      </w:pPr>
      <w:r>
        <w:lastRenderedPageBreak/>
        <w:t>20 permit any</w:t>
      </w:r>
    </w:p>
    <w:p w14:paraId="6D6C5EB6" w14:textId="77777777" w:rsidR="00B1768C" w:rsidRDefault="00000000">
      <w:pPr>
        <w:pStyle w:val="BodyTextL50"/>
      </w:pPr>
      <w:r>
        <w:t xml:space="preserve">A primeira linha da ACL impede que quaisquer pacotes originados no </w:t>
      </w:r>
      <w:r>
        <w:rPr>
          <w:b/>
          <w:bCs/>
        </w:rPr>
        <w:t>192.168.10.0/24</w:t>
      </w:r>
      <w:r>
        <w:t xml:space="preserve"> rede, que inclui ecos do protocolo de mensagens de controle da Internet (ICMP) (solicitações de ping). A segunda linha da ACL permite que todo o outro tráfego de </w:t>
      </w:r>
      <w:r>
        <w:rPr>
          <w:b/>
          <w:bCs/>
        </w:rPr>
        <w:t xml:space="preserve">ip </w:t>
      </w:r>
      <w:r>
        <w:t xml:space="preserve">de </w:t>
      </w:r>
      <w:r>
        <w:rPr>
          <w:b/>
          <w:bCs/>
        </w:rPr>
        <w:t xml:space="preserve">qualquer </w:t>
      </w:r>
      <w:r>
        <w:t>origem atravesse o roteador.</w:t>
      </w:r>
    </w:p>
    <w:p w14:paraId="717A6E31" w14:textId="77777777" w:rsidR="00B1768C" w:rsidRDefault="00000000">
      <w:pPr>
        <w:pStyle w:val="SubStepAlpha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Para que uma ACL tenha impacto na operação do roteador, ela deve ser aplicada a uma interface em uma direção específica. Neste cenário, a ACL é usada para filtrar o tráfego em uma interface. Portanto, todo o tráfego saindo da interface de R1 especificada será inspecionado contra ACL 11.</w:t>
      </w:r>
    </w:p>
    <w:p w14:paraId="00E2343B" w14:textId="77777777" w:rsidR="00B1768C" w:rsidRDefault="00000000">
      <w:pPr>
        <w:pStyle w:val="SubStepAlpha"/>
        <w:spacing w:after="0"/>
        <w:ind w:firstLine="0"/>
      </w:pPr>
      <w:r>
        <w:t xml:space="preserve">Embora você possa ver as informações de IP com o comando </w:t>
      </w:r>
      <w:r>
        <w:rPr>
          <w:b/>
          <w:bCs/>
        </w:rPr>
        <w:t xml:space="preserve">show ip interface </w:t>
      </w:r>
      <w:r>
        <w:t xml:space="preserve">pode ser mais eficiente em algumas situações simplesmente usar o comando </w:t>
      </w:r>
      <w:r>
        <w:rPr>
          <w:b/>
          <w:bCs/>
        </w:rPr>
        <w:t xml:space="preserve">show run </w:t>
      </w:r>
    </w:p>
    <w:p w14:paraId="00FA7A9A" w14:textId="77777777" w:rsidR="00B1768C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Pergunta:</w:t>
      </w:r>
    </w:p>
    <w:p w14:paraId="243E1E25" w14:textId="77777777" w:rsidR="00B1768C" w:rsidRDefault="00000000">
      <w:pPr>
        <w:pStyle w:val="SubStepAlpha"/>
        <w:spacing w:before="0"/>
        <w:ind w:firstLine="0"/>
      </w:pPr>
      <w:r>
        <w:t>Usando um ou ambos os comandos, a que interface é aplicada a ACL?</w:t>
      </w:r>
    </w:p>
    <w:p w14:paraId="7E173941" w14:textId="77777777" w:rsidR="00B1768C" w:rsidRDefault="00000000">
      <w:pPr>
        <w:pStyle w:val="AnswerLineL50"/>
      </w:pPr>
      <w:r>
        <w:t>Digite suas respostas aqui.</w:t>
      </w:r>
    </w:p>
    <w:p w14:paraId="7ED1DD83" w14:textId="77777777" w:rsidR="00B1768C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Etapa 2: Remova a lista de acesso 11 da configuração.</w:t>
      </w:r>
    </w:p>
    <w:p w14:paraId="542BEE9D" w14:textId="77777777" w:rsidR="00B1768C" w:rsidRDefault="00000000">
      <w:pPr>
        <w:pStyle w:val="BodyTextL25"/>
      </w:pPr>
      <w:r>
        <w:t xml:space="preserve">Você pode remover ACLs da configuração emitindo o comando </w:t>
      </w:r>
      <w:r>
        <w:rPr>
          <w:b/>
          <w:bCs/>
        </w:rPr>
        <w:t xml:space="preserve">no access list </w:t>
      </w:r>
      <w:r>
        <w:t>[</w:t>
      </w:r>
      <w:r>
        <w:rPr>
          <w:i/>
          <w:iCs/>
        </w:rPr>
        <w:t>number of the ACL</w:t>
      </w:r>
      <w:r>
        <w:t xml:space="preserve">]. O comando </w:t>
      </w:r>
      <w:r>
        <w:rPr>
          <w:b/>
          <w:bCs/>
        </w:rPr>
        <w:t>no access-list</w:t>
      </w:r>
      <w:r>
        <w:t xml:space="preserve"> exclui todas as ACLs configuradas no roteador. O comando </w:t>
      </w:r>
      <w:r>
        <w:rPr>
          <w:b/>
          <w:bCs/>
        </w:rPr>
        <w:t>no access-list</w:t>
      </w:r>
      <w:r>
        <w:t xml:space="preserve"> [</w:t>
      </w:r>
      <w:r>
        <w:rPr>
          <w:i/>
          <w:iCs/>
        </w:rPr>
        <w:t>number of the ACL</w:t>
      </w:r>
      <w:r>
        <w:t xml:space="preserve">] remove apenas uma ACL específica. </w:t>
      </w:r>
    </w:p>
    <w:p w14:paraId="346DD8F9" w14:textId="77777777" w:rsidR="00B1768C" w:rsidRDefault="00000000">
      <w:pPr>
        <w:pStyle w:val="SubStepAlpha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Na interface Serial0 / 0/0, remova a lista de acesso 11, anteriormente aplicada à interface como um filtro de </w:t>
      </w:r>
      <w:r>
        <w:rPr>
          <w:b/>
          <w:bCs/>
        </w:rPr>
        <w:t>saída</w:t>
      </w:r>
      <w:r>
        <w:t xml:space="preserve"> :</w:t>
      </w:r>
    </w:p>
    <w:p w14:paraId="75299D6C" w14:textId="77777777" w:rsidR="00B1768C" w:rsidRPr="00FB64AF" w:rsidRDefault="00000000">
      <w:pPr>
        <w:pStyle w:val="CMD"/>
        <w:rPr>
          <w:lang w:val="en-IN"/>
        </w:rPr>
      </w:pPr>
      <w:r w:rsidRPr="00FB64AF">
        <w:rPr>
          <w:lang w:val="en-IN"/>
        </w:rPr>
        <w:t xml:space="preserve">R1(config)# </w:t>
      </w:r>
      <w:r w:rsidRPr="00FB64AF">
        <w:rPr>
          <w:b/>
          <w:bCs/>
          <w:lang w:val="en-IN"/>
        </w:rPr>
        <w:t>int se0/0/0</w:t>
      </w:r>
    </w:p>
    <w:p w14:paraId="588937B0" w14:textId="77777777" w:rsidR="00B1768C" w:rsidRPr="00FB64AF" w:rsidRDefault="00000000">
      <w:pPr>
        <w:pStyle w:val="CMD"/>
        <w:rPr>
          <w:lang w:val="en-IN"/>
        </w:rPr>
      </w:pPr>
      <w:r w:rsidRPr="00FB64AF">
        <w:rPr>
          <w:lang w:val="en-IN"/>
        </w:rPr>
        <w:t>R1(config-if)#</w:t>
      </w:r>
      <w:r w:rsidRPr="00FB64AF">
        <w:rPr>
          <w:b/>
          <w:bCs/>
          <w:lang w:val="en-IN"/>
        </w:rPr>
        <w:t>no ip access-group 11 out</w:t>
      </w:r>
    </w:p>
    <w:p w14:paraId="232A33BB" w14:textId="77777777" w:rsidR="00B1768C" w:rsidRDefault="00000000">
      <w:pPr>
        <w:pStyle w:val="SubStepAlpha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No modo de configuração global, remova a ACL digitando o seguinte comando:</w:t>
      </w:r>
    </w:p>
    <w:p w14:paraId="250F49C7" w14:textId="77777777" w:rsidR="00B1768C" w:rsidRDefault="00000000">
      <w:pPr>
        <w:pStyle w:val="CMD"/>
      </w:pPr>
      <w:r>
        <w:t xml:space="preserve">R1(config)# </w:t>
      </w:r>
      <w:r>
        <w:rPr>
          <w:b/>
          <w:bCs/>
        </w:rPr>
        <w:t>no access-list 11</w:t>
      </w:r>
    </w:p>
    <w:p w14:paraId="568E1DA6" w14:textId="77777777" w:rsidR="00B1768C" w:rsidRDefault="00000000">
      <w:pPr>
        <w:pStyle w:val="SubStepAlpha"/>
      </w:pPr>
      <w:r>
        <w:t>c.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Verifique que o </w:t>
      </w:r>
      <w:r>
        <w:rPr>
          <w:b/>
          <w:bCs/>
        </w:rPr>
        <w:t>PC1</w:t>
      </w:r>
      <w:r>
        <w:t xml:space="preserve"> agora pode realizar o ping para o </w:t>
      </w:r>
      <w:r>
        <w:rPr>
          <w:b/>
          <w:bCs/>
        </w:rPr>
        <w:t xml:space="preserve">DNS Server </w:t>
      </w:r>
      <w:r>
        <w:t xml:space="preserve">e o </w:t>
      </w:r>
      <w:r>
        <w:rPr>
          <w:b/>
          <w:bCs/>
        </w:rPr>
        <w:t>PC4</w:t>
      </w:r>
      <w:r>
        <w:t>.</w:t>
      </w:r>
    </w:p>
    <w:p w14:paraId="251458A6" w14:textId="77777777" w:rsidR="00D8667E" w:rsidRDefault="00000000">
      <w:pPr>
        <w:pStyle w:val="ConfigWindow"/>
        <w:rPr>
          <w:lang w:val="en-US"/>
        </w:rPr>
      </w:pPr>
      <w:r>
        <w:t>Fim do documento</w:t>
      </w:r>
    </w:p>
    <w:sectPr w:rsidR="00D8667E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49850" w14:textId="77777777" w:rsidR="00BD0FF0" w:rsidRDefault="00BD0FF0">
      <w:pPr>
        <w:spacing w:before="0" w:after="0" w:line="240" w:lineRule="auto"/>
      </w:pPr>
      <w:r>
        <w:separator/>
      </w:r>
    </w:p>
  </w:endnote>
  <w:endnote w:type="continuationSeparator" w:id="0">
    <w:p w14:paraId="26B58AE1" w14:textId="77777777" w:rsidR="00BD0FF0" w:rsidRDefault="00BD0F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7423" w14:textId="77777777" w:rsidR="00B1768C" w:rsidRDefault="00000000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eastAsia="en-US"/>
      </w:rPr>
    </w:pPr>
    <w:r>
      <w:rPr>
        <w:rFonts w:eastAsia="Calibri" w:cs="Times New Roman"/>
        <w:szCs w:val="22"/>
        <w:lang w:eastAsia="en-US"/>
      </w:rPr>
      <w:sym w:font="Symbol" w:char="F0E3"/>
    </w:r>
    <w:r>
      <w:rPr>
        <w:rFonts w:eastAsia="Calibri" w:cs="Times New Roman"/>
        <w:szCs w:val="22"/>
        <w:lang w:eastAsia="en-US"/>
      </w:rPr>
      <w:t xml:space="preserve"> </w:t>
    </w:r>
    <w:sdt>
      <w:sdtPr>
        <w:rPr>
          <w:rFonts w:eastAsia="Calibri" w:cs="Times New Roman"/>
          <w:szCs w:val="22"/>
          <w:lang w:eastAsia="en-US"/>
        </w:rPr>
        <w:alias w:val="Comentários "/>
        <w:id w:val="-71789857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rFonts w:eastAsia="Calibri" w:cs="Times New Roman"/>
            <w:szCs w:val="22"/>
            <w:lang w:eastAsia="en-US"/>
          </w:rPr>
          <w:t>2017</w:t>
        </w:r>
      </w:sdtContent>
    </w:sdt>
    <w:r>
      <w:rPr>
        <w:rFonts w:eastAsia="Calibri" w:cs="Times New Roman"/>
        <w:szCs w:val="22"/>
        <w:lang w:eastAsia="en-US"/>
      </w:rPr>
      <w:t xml:space="preserve"> - 2022 Cisco e/ou suas afiliadas. Todos os direitos reservados. Público da Cisco</w:t>
    </w:r>
    <w:r>
      <w:rPr>
        <w:rFonts w:eastAsia="Calibri" w:cs="Times New Roman"/>
        <w:szCs w:val="22"/>
        <w:lang w:eastAsia="en-US"/>
      </w:rPr>
      <w:tab/>
      <w:t xml:space="preserve">Página </w:t>
    </w:r>
    <w:r>
      <w:rPr>
        <w:rFonts w:eastAsia="Calibri" w:cs="Times New Roman"/>
        <w:szCs w:val="22"/>
        <w:lang w:eastAsia="en-US"/>
      </w:rPr>
      <w:fldChar w:fldCharType="begin"/>
    </w:r>
    <w:r>
      <w:rPr>
        <w:rFonts w:eastAsia="Calibri" w:cs="Times New Roman"/>
        <w:szCs w:val="22"/>
        <w:lang w:eastAsia="en-US"/>
      </w:rPr>
      <w:instrText xml:space="preserve"> PAGE </w:instrText>
    </w:r>
    <w:r>
      <w:rPr>
        <w:rFonts w:eastAsia="Calibri" w:cs="Times New Roman"/>
        <w:szCs w:val="22"/>
        <w:lang w:eastAsia="en-US"/>
      </w:rPr>
      <w:fldChar w:fldCharType="separate"/>
    </w:r>
    <w:r>
      <w:rPr>
        <w:rFonts w:eastAsia="Calibri" w:cs="Times New Roman"/>
        <w:szCs w:val="22"/>
        <w:lang w:eastAsia="en-US"/>
      </w:rPr>
      <w:t>1</w:t>
    </w:r>
    <w:r>
      <w:rPr>
        <w:rFonts w:eastAsia="Calibri" w:cs="Times New Roman"/>
        <w:szCs w:val="22"/>
        <w:lang w:eastAsia="en-US"/>
      </w:rPr>
      <w:fldChar w:fldCharType="end"/>
    </w:r>
    <w:r>
      <w:rPr>
        <w:rFonts w:eastAsia="Calibri" w:cs="Times New Roman"/>
        <w:szCs w:val="22"/>
        <w:lang w:eastAsia="en-US"/>
      </w:rPr>
      <w:t xml:space="preserve"> de </w:t>
    </w:r>
    <w:r>
      <w:rPr>
        <w:rFonts w:eastAsia="Calibri" w:cs="Times New Roman"/>
        <w:szCs w:val="22"/>
        <w:lang w:eastAsia="en-US"/>
      </w:rPr>
      <w:fldChar w:fldCharType="begin"/>
    </w:r>
    <w:r>
      <w:rPr>
        <w:rFonts w:eastAsia="Calibri" w:cs="Times New Roman"/>
        <w:szCs w:val="22"/>
        <w:lang w:eastAsia="en-US"/>
      </w:rPr>
      <w:instrText xml:space="preserve"> NUMPAGES  </w:instrText>
    </w:r>
    <w:r>
      <w:rPr>
        <w:rFonts w:eastAsia="Calibri" w:cs="Times New Roman"/>
        <w:szCs w:val="22"/>
        <w:lang w:eastAsia="en-US"/>
      </w:rPr>
      <w:fldChar w:fldCharType="separate"/>
    </w:r>
    <w:r>
      <w:rPr>
        <w:rFonts w:eastAsia="Calibri" w:cs="Times New Roman"/>
        <w:szCs w:val="22"/>
        <w:lang w:eastAsia="en-US"/>
      </w:rPr>
      <w:t>2</w:t>
    </w:r>
    <w:r>
      <w:rPr>
        <w:rFonts w:eastAsia="Calibri" w:cs="Times New Roman"/>
        <w:szCs w:val="22"/>
        <w:lang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D1CBC" w14:textId="77777777" w:rsidR="00B1768C" w:rsidRDefault="00000000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eastAsia="en-US"/>
      </w:rPr>
    </w:pPr>
    <w:r>
      <w:rPr>
        <w:rFonts w:eastAsia="Calibri" w:cs="Times New Roman"/>
        <w:szCs w:val="22"/>
        <w:lang w:eastAsia="en-US"/>
      </w:rPr>
      <w:sym w:font="Symbol" w:char="F0E3"/>
    </w:r>
    <w:r>
      <w:rPr>
        <w:rFonts w:eastAsia="Calibri" w:cs="Times New Roman"/>
        <w:szCs w:val="22"/>
        <w:lang w:eastAsia="en-US"/>
      </w:rPr>
      <w:t xml:space="preserve"> </w:t>
    </w:r>
    <w:sdt>
      <w:sdtPr>
        <w:rPr>
          <w:rFonts w:eastAsia="Calibri" w:cs="Times New Roman"/>
          <w:szCs w:val="22"/>
          <w:lang w:eastAsia="en-US"/>
        </w:rPr>
        <w:alias w:val="Comentários 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rFonts w:eastAsia="Calibri" w:cs="Times New Roman"/>
            <w:szCs w:val="22"/>
            <w:lang w:eastAsia="en-US"/>
          </w:rPr>
          <w:t>2017</w:t>
        </w:r>
      </w:sdtContent>
    </w:sdt>
    <w:r>
      <w:rPr>
        <w:rFonts w:eastAsia="Calibri" w:cs="Times New Roman"/>
        <w:szCs w:val="22"/>
        <w:lang w:eastAsia="en-US"/>
      </w:rPr>
      <w:t xml:space="preserve"> - 2022 Cisco e/ou suas afiliadas. Todos os direitos reservados. Público da Cisco</w:t>
    </w:r>
    <w:r>
      <w:rPr>
        <w:rFonts w:eastAsia="Calibri" w:cs="Times New Roman"/>
        <w:szCs w:val="22"/>
        <w:lang w:eastAsia="en-US"/>
      </w:rPr>
      <w:tab/>
      <w:t xml:space="preserve">Página </w:t>
    </w:r>
    <w:r>
      <w:rPr>
        <w:rFonts w:eastAsia="Calibri" w:cs="Times New Roman"/>
        <w:szCs w:val="22"/>
        <w:lang w:eastAsia="en-US"/>
      </w:rPr>
      <w:fldChar w:fldCharType="begin"/>
    </w:r>
    <w:r>
      <w:rPr>
        <w:rFonts w:eastAsia="Calibri" w:cs="Times New Roman"/>
        <w:szCs w:val="22"/>
        <w:lang w:eastAsia="en-US"/>
      </w:rPr>
      <w:instrText xml:space="preserve"> PAGE </w:instrText>
    </w:r>
    <w:r>
      <w:rPr>
        <w:rFonts w:eastAsia="Calibri" w:cs="Times New Roman"/>
        <w:szCs w:val="22"/>
        <w:lang w:eastAsia="en-US"/>
      </w:rPr>
      <w:fldChar w:fldCharType="separate"/>
    </w:r>
    <w:r>
      <w:rPr>
        <w:rFonts w:eastAsia="Calibri" w:cs="Times New Roman"/>
        <w:szCs w:val="22"/>
        <w:lang w:eastAsia="en-US"/>
      </w:rPr>
      <w:t>1</w:t>
    </w:r>
    <w:r>
      <w:rPr>
        <w:rFonts w:eastAsia="Calibri" w:cs="Times New Roman"/>
        <w:szCs w:val="22"/>
        <w:lang w:eastAsia="en-US"/>
      </w:rPr>
      <w:fldChar w:fldCharType="end"/>
    </w:r>
    <w:r>
      <w:rPr>
        <w:rFonts w:eastAsia="Calibri" w:cs="Times New Roman"/>
        <w:szCs w:val="22"/>
        <w:lang w:eastAsia="en-US"/>
      </w:rPr>
      <w:t xml:space="preserve"> de </w:t>
    </w:r>
    <w:r>
      <w:rPr>
        <w:rFonts w:eastAsia="Calibri" w:cs="Times New Roman"/>
        <w:szCs w:val="22"/>
        <w:lang w:eastAsia="en-US"/>
      </w:rPr>
      <w:fldChar w:fldCharType="begin"/>
    </w:r>
    <w:r>
      <w:rPr>
        <w:rFonts w:eastAsia="Calibri" w:cs="Times New Roman"/>
        <w:szCs w:val="22"/>
        <w:lang w:eastAsia="en-US"/>
      </w:rPr>
      <w:instrText xml:space="preserve"> NUMPAGES  </w:instrText>
    </w:r>
    <w:r>
      <w:rPr>
        <w:rFonts w:eastAsia="Calibri" w:cs="Times New Roman"/>
        <w:szCs w:val="22"/>
        <w:lang w:eastAsia="en-US"/>
      </w:rPr>
      <w:fldChar w:fldCharType="separate"/>
    </w:r>
    <w:r>
      <w:rPr>
        <w:rFonts w:eastAsia="Calibri" w:cs="Times New Roman"/>
        <w:szCs w:val="22"/>
        <w:lang w:eastAsia="en-US"/>
      </w:rPr>
      <w:t>4</w:t>
    </w:r>
    <w:r>
      <w:rPr>
        <w:rFonts w:eastAsia="Calibri" w:cs="Times New Roman"/>
        <w:szCs w:val="22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367E2" w14:textId="77777777" w:rsidR="00BD0FF0" w:rsidRDefault="00BD0FF0">
      <w:pPr>
        <w:spacing w:before="0" w:after="0" w:line="240" w:lineRule="auto"/>
      </w:pPr>
      <w:r>
        <w:separator/>
      </w:r>
    </w:p>
  </w:footnote>
  <w:footnote w:type="continuationSeparator" w:id="0">
    <w:p w14:paraId="3F442E36" w14:textId="77777777" w:rsidR="00BD0FF0" w:rsidRDefault="00BD0F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7BCDA" w14:textId="77777777" w:rsidR="00B1768C" w:rsidRDefault="00000000">
    <w:pPr>
      <w:pStyle w:val="PageHead"/>
      <w:pBdr>
        <w:bottom w:val="single" w:sz="18" w:space="1" w:color="auto"/>
      </w:pBdr>
      <w:tabs>
        <w:tab w:val="right" w:pos="10080"/>
      </w:tabs>
      <w:rPr>
        <w:rFonts w:eastAsia="Calibri" w:cs="Times New Roman"/>
        <w:bCs w:val="0"/>
        <w:szCs w:val="22"/>
        <w:lang w:eastAsia="en-US"/>
      </w:rPr>
    </w:pPr>
    <w:r>
      <w:rPr>
        <w:rFonts w:eastAsia="Calibri" w:cs="Times New Roman"/>
        <w:bCs w:val="0"/>
        <w:szCs w:val="22"/>
        <w:lang w:eastAsia="en-US"/>
      </w:rPr>
      <w:t>Packet Tracer – Demonstração de lista de controle de acesso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30C93" w14:textId="77777777" w:rsidR="00B1768C" w:rsidRDefault="00000000">
    <w:r>
      <w:rPr>
        <w:noProof/>
      </w:rPr>
      <w:drawing>
        <wp:inline distT="0" distB="0" distL="0" distR="0" wp14:anchorId="19C72329">
          <wp:extent cx="2590800" cy="800100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A4"/>
    <w:rsid w:val="00030E98"/>
    <w:rsid w:val="002E5929"/>
    <w:rsid w:val="004425A4"/>
    <w:rsid w:val="008A6422"/>
    <w:rsid w:val="00B1768C"/>
    <w:rsid w:val="00BD0FF0"/>
    <w:rsid w:val="00C30276"/>
    <w:rsid w:val="00D8667E"/>
    <w:rsid w:val="00DC068F"/>
    <w:rsid w:val="00E82B34"/>
    <w:rsid w:val="00F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6C731"/>
  <w15:chartTrackingRefBased/>
  <w15:docId w15:val="{66B3696D-D360-448D-8B56-6391DCAF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  <w:lang w:val="pt-BR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hAnsi="Times New Roman" w:cs="Times New Roman" w:hint="default"/>
      <w:color w:val="FFFFFF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Title">
    <w:name w:val="Title"/>
    <w:basedOn w:val="Normal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locked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locked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  <w:locked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  <w:locked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locked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InstNoteRed">
    <w:name w:val="Inst Note Red"/>
    <w:basedOn w:val="Normal"/>
    <w:qFormat/>
    <w:pPr>
      <w:spacing w:line="240" w:lineRule="auto"/>
    </w:pPr>
    <w:rPr>
      <w:rFonts w:eastAsia="Calibri" w:cs="Times New Roman"/>
      <w:color w:val="EE0000"/>
      <w:sz w:val="20"/>
      <w:lang w:eastAsia="en-US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rynqvb">
    <w:name w:val="rynqv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2795</Characters>
  <Application>Microsoft Office Word</Application>
  <DocSecurity>0</DocSecurity>
  <Lines>62</Lines>
  <Paragraphs>57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Demonstração de lista de controle de acesso</dc:title>
  <dc:subject/>
  <dc:creator>Shubham Shinde (aptlogica)</dc:creator>
  <cp:keywords/>
  <dc:description>2017</dc:description>
  <cp:lastModifiedBy>Shubham Shinde (aptlogica)</cp:lastModifiedBy>
  <cp:revision>7</cp:revision>
  <dcterms:created xsi:type="dcterms:W3CDTF">2024-08-03T07:27:00Z</dcterms:created>
  <dcterms:modified xsi:type="dcterms:W3CDTF">2024-08-03T07:28:00Z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130900.000000000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GrammarlyDocumentId">
    <vt:lpwstr>fd64e525efbb3114273a262f151d83374a78d1fb7244bf22af9975b4bebf6bfa</vt:lpwstr>
  </property>
</Properties>
</file>