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('TEN' for TenneT, 'UVA' for Universiteit van Amsterdam,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'Universiteit van Amsterdam', or 'Company BV'</w:t>
      </w:r>
    </w:p>
    <w:p>
      <w:pPr>
        <w:pStyle w:val="Compact"/>
        <w:numPr>
          <w:numId w:val="1004"/>
          <w:ilvl w:val="0"/>
        </w:numPr>
      </w:pPr>
      <w:r>
        <w:rPr>
          <w:rStyle w:val="VerbatimChar"/>
        </w:rPr>
        <w:t xml:space="preserve">&lt;short_name&gt;</w:t>
      </w:r>
      <w:r>
        <w:t xml:space="preserve">, in which you should type the client's shorter name, e.g. 'UvA' or 'Company'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 e.g. 2015-04-18</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pPr>
        <w:pStyle w:val="Compact"/>
      </w:pPr>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3"/>
      </w:pPr>
      <w:bookmarkStart w:id="54" w:name="tables"/>
      <w:bookmarkEnd w:id="54"/>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5" w:name="images"/>
      <w:bookmarkEnd w:id="55"/>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6" w:name="inline-elements"/>
      <w:bookmarkEnd w:id="56"/>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7" w:name="manual-breaks"/>
      <w:bookmarkEnd w:id="57"/>
      <w:r>
        <w:t xml:space="preserve">Manual breaks</w:t>
      </w:r>
    </w:p>
    <w:p>
      <w:pPr>
        <w:pStyle w:val="Heading3"/>
      </w:pPr>
      <w:bookmarkStart w:id="58" w:name="line-breaks"/>
      <w:bookmarkEnd w:id="58"/>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59" w:name="page-breaks"/>
      <w:bookmarkEnd w:id="59"/>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3510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f3f7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