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C8C64" w14:textId="77777777" w:rsidR="000E04F1" w:rsidRDefault="000E04F1">
      <w:pPr>
        <w:pStyle w:val="Ttulo"/>
        <w:tabs>
          <w:tab w:val="left" w:pos="1440"/>
          <w:tab w:val="left" w:pos="2448"/>
          <w:tab w:val="left" w:pos="3024"/>
        </w:tabs>
        <w:spacing w:line="360" w:lineRule="auto"/>
        <w:jc w:val="both"/>
        <w:rPr>
          <w:b/>
          <w:sz w:val="60"/>
          <w:szCs w:val="60"/>
        </w:rPr>
      </w:pPr>
      <w:bookmarkStart w:id="0" w:name="_qsityow5qbb2" w:colFirst="0" w:colLast="0"/>
      <w:bookmarkEnd w:id="0"/>
    </w:p>
    <w:p w14:paraId="1D92C739" w14:textId="77777777" w:rsidR="000E04F1" w:rsidRDefault="000E04F1">
      <w:pPr>
        <w:pStyle w:val="Ttulo"/>
        <w:tabs>
          <w:tab w:val="left" w:pos="1440"/>
          <w:tab w:val="left" w:pos="2448"/>
          <w:tab w:val="left" w:pos="3024"/>
        </w:tabs>
        <w:spacing w:line="360" w:lineRule="auto"/>
        <w:jc w:val="both"/>
        <w:rPr>
          <w:b/>
          <w:sz w:val="60"/>
          <w:szCs w:val="60"/>
        </w:rPr>
      </w:pPr>
      <w:bookmarkStart w:id="1" w:name="_dg8724yhs4j" w:colFirst="0" w:colLast="0"/>
      <w:bookmarkEnd w:id="1"/>
    </w:p>
    <w:p w14:paraId="22F1A8F4" w14:textId="77777777" w:rsidR="000E04F1" w:rsidRDefault="000E04F1">
      <w:pPr>
        <w:pStyle w:val="Ttulo"/>
        <w:tabs>
          <w:tab w:val="left" w:pos="1440"/>
          <w:tab w:val="left" w:pos="2448"/>
          <w:tab w:val="left" w:pos="3024"/>
        </w:tabs>
        <w:spacing w:line="360" w:lineRule="auto"/>
        <w:jc w:val="both"/>
        <w:rPr>
          <w:b/>
          <w:sz w:val="60"/>
          <w:szCs w:val="60"/>
        </w:rPr>
      </w:pPr>
      <w:bookmarkStart w:id="2" w:name="_c33p64ci5u36" w:colFirst="0" w:colLast="0"/>
      <w:bookmarkEnd w:id="2"/>
    </w:p>
    <w:p w14:paraId="2BEB6AEA" w14:textId="77777777" w:rsidR="000E04F1" w:rsidRDefault="000E04F1">
      <w:pPr>
        <w:pStyle w:val="Ttulo"/>
        <w:tabs>
          <w:tab w:val="left" w:pos="1440"/>
          <w:tab w:val="left" w:pos="2448"/>
          <w:tab w:val="left" w:pos="3024"/>
        </w:tabs>
        <w:spacing w:line="360" w:lineRule="auto"/>
        <w:jc w:val="both"/>
        <w:rPr>
          <w:b/>
          <w:sz w:val="60"/>
          <w:szCs w:val="60"/>
        </w:rPr>
      </w:pPr>
      <w:bookmarkStart w:id="3" w:name="_o0tam2zeddjq" w:colFirst="0" w:colLast="0"/>
      <w:bookmarkEnd w:id="3"/>
    </w:p>
    <w:p w14:paraId="0171576C" w14:textId="77777777" w:rsidR="000E04F1" w:rsidRDefault="00000000">
      <w:pPr>
        <w:pStyle w:val="Ttulo"/>
        <w:tabs>
          <w:tab w:val="left" w:pos="1440"/>
          <w:tab w:val="left" w:pos="2448"/>
          <w:tab w:val="left" w:pos="3024"/>
        </w:tabs>
        <w:spacing w:line="360" w:lineRule="auto"/>
        <w:jc w:val="both"/>
        <w:rPr>
          <w:b/>
          <w:sz w:val="60"/>
          <w:szCs w:val="60"/>
        </w:rPr>
      </w:pPr>
      <w:bookmarkStart w:id="4" w:name="_9pobbjatpj4f" w:colFirst="0" w:colLast="0"/>
      <w:bookmarkEnd w:id="4"/>
      <w:r>
        <w:rPr>
          <w:b/>
          <w:sz w:val="60"/>
          <w:szCs w:val="60"/>
        </w:rPr>
        <w:t>REPORT RED TEAM</w:t>
      </w:r>
    </w:p>
    <w:p w14:paraId="7433777D" w14:textId="77777777" w:rsidR="000E04F1" w:rsidRDefault="00000000">
      <w:pPr>
        <w:tabs>
          <w:tab w:val="left" w:pos="1440"/>
          <w:tab w:val="left" w:pos="2448"/>
          <w:tab w:val="left" w:pos="3024"/>
        </w:tabs>
      </w:pPr>
      <w:r>
        <w:t>Joas A Santos</w:t>
      </w:r>
    </w:p>
    <w:p w14:paraId="757BEB85" w14:textId="77777777" w:rsidR="000E04F1" w:rsidRDefault="000E04F1">
      <w:pPr>
        <w:tabs>
          <w:tab w:val="left" w:pos="1440"/>
          <w:tab w:val="left" w:pos="2448"/>
          <w:tab w:val="left" w:pos="3024"/>
        </w:tabs>
        <w:spacing w:line="360" w:lineRule="auto"/>
        <w:jc w:val="both"/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  <w:sectPr w:rsidR="000E04F1">
          <w:footerReference w:type="default" r:id="rId7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2E075576" w14:textId="77777777" w:rsidR="000E04F1" w:rsidRDefault="00000000">
      <w:pPr>
        <w:pStyle w:val="Ttulo3"/>
        <w:spacing w:before="0" w:after="0" w:line="259" w:lineRule="auto"/>
        <w:rPr>
          <w:rFonts w:ascii="Atkinson Hyperlegible" w:eastAsia="Atkinson Hyperlegible" w:hAnsi="Atkinson Hyperlegible" w:cs="Atkinson Hyperlegible"/>
          <w:b/>
          <w:color w:val="595959"/>
          <w:sz w:val="24"/>
          <w:szCs w:val="24"/>
        </w:rPr>
      </w:pPr>
      <w:bookmarkStart w:id="5" w:name="_m7g8nf8rmkd3" w:colFirst="0" w:colLast="0"/>
      <w:bookmarkEnd w:id="5"/>
      <w:r>
        <w:rPr>
          <w:rFonts w:ascii="Atkinson Hyperlegible" w:eastAsia="Atkinson Hyperlegible" w:hAnsi="Atkinson Hyperlegible" w:cs="Atkinson Hyperlegible"/>
          <w:b/>
          <w:color w:val="595959"/>
          <w:sz w:val="24"/>
          <w:szCs w:val="24"/>
        </w:rPr>
        <w:lastRenderedPageBreak/>
        <w:t>Introdução</w:t>
      </w:r>
    </w:p>
    <w:p w14:paraId="6A666B5A" w14:textId="77777777" w:rsidR="000E04F1" w:rsidRDefault="00000000">
      <w:pPr>
        <w:spacing w:after="120" w:line="360" w:lineRule="auto"/>
        <w:jc w:val="both"/>
        <w:rPr>
          <w:rFonts w:ascii="Atkinson Hyperlegible" w:eastAsia="Atkinson Hyperlegible" w:hAnsi="Atkinson Hyperlegible" w:cs="Atkinson Hyperlegible"/>
          <w:sz w:val="24"/>
          <w:szCs w:val="24"/>
        </w:rPr>
      </w:pPr>
      <w:r>
        <w:rPr>
          <w:rFonts w:ascii="Atkinson Hyperlegible" w:eastAsia="Atkinson Hyperlegible" w:hAnsi="Atkinson Hyperlegible" w:cs="Atkinson Hyperlegible"/>
          <w:sz w:val="24"/>
          <w:szCs w:val="24"/>
        </w:rPr>
        <w:t>O envolvimento é realizado por técnicas usadas por adversários do mundo real empregadas para atingir os sistemas em teste. A sequência de atividades nesta abordagem envolve coleta, exploração e ataque, a fim de realizar impactos operacionais específicos de objetivos.</w:t>
      </w:r>
    </w:p>
    <w:p w14:paraId="76315394" w14:textId="77777777" w:rsidR="000E04F1" w:rsidRDefault="00000000">
      <w:pPr>
        <w:spacing w:after="120" w:line="360" w:lineRule="auto"/>
        <w:jc w:val="both"/>
        <w:rPr>
          <w:rFonts w:ascii="Atkinson Hyperlegible" w:eastAsia="Atkinson Hyperlegible" w:hAnsi="Atkinson Hyperlegible" w:cs="Atkinson Hyperlegible"/>
          <w:b/>
          <w:sz w:val="24"/>
          <w:szCs w:val="24"/>
        </w:rPr>
      </w:pPr>
      <w:r>
        <w:rPr>
          <w:rFonts w:ascii="Atkinson Hyperlegible" w:eastAsia="Atkinson Hyperlegible" w:hAnsi="Atkinson Hyperlegible" w:cs="Atkinson Hyperlegible"/>
          <w:b/>
          <w:sz w:val="24"/>
          <w:szCs w:val="24"/>
        </w:rPr>
        <w:t>Objetivos:</w:t>
      </w:r>
    </w:p>
    <w:p w14:paraId="5D604695" w14:textId="77777777" w:rsidR="000E04F1" w:rsidRDefault="00000000">
      <w:pPr>
        <w:numPr>
          <w:ilvl w:val="0"/>
          <w:numId w:val="3"/>
        </w:numPr>
        <w:spacing w:line="360" w:lineRule="auto"/>
        <w:jc w:val="both"/>
        <w:rPr>
          <w:rFonts w:ascii="Atkinson Hyperlegible" w:eastAsia="Atkinson Hyperlegible" w:hAnsi="Atkinson Hyperlegible" w:cs="Atkinson Hyperlegible"/>
          <w:sz w:val="24"/>
          <w:szCs w:val="24"/>
        </w:rPr>
      </w:pPr>
      <w:r>
        <w:rPr>
          <w:rFonts w:ascii="Atkinson Hyperlegible" w:eastAsia="Atkinson Hyperlegible" w:hAnsi="Atkinson Hyperlegible" w:cs="Atkinson Hyperlegible"/>
          <w:sz w:val="24"/>
          <w:szCs w:val="24"/>
        </w:rPr>
        <w:t xml:space="preserve">Coletar credenciais do XXX via </w:t>
      </w:r>
      <w:proofErr w:type="spellStart"/>
      <w:r>
        <w:rPr>
          <w:rFonts w:ascii="Atkinson Hyperlegible" w:eastAsia="Atkinson Hyperlegible" w:hAnsi="Atkinson Hyperlegible" w:cs="Atkinson Hyperlegible"/>
          <w:sz w:val="24"/>
          <w:szCs w:val="24"/>
        </w:rPr>
        <w:t>Spear</w:t>
      </w:r>
      <w:proofErr w:type="spellEnd"/>
      <w:r>
        <w:rPr>
          <w:rFonts w:ascii="Atkinson Hyperlegible" w:eastAsia="Atkinson Hyperlegible" w:hAnsi="Atkinson Hyperlegible" w:cs="Atkinson Hyperlegible"/>
          <w:sz w:val="24"/>
          <w:szCs w:val="24"/>
        </w:rPr>
        <w:t>-Phishing</w:t>
      </w:r>
    </w:p>
    <w:p w14:paraId="518098AC" w14:textId="77777777" w:rsidR="000E04F1" w:rsidRDefault="00000000">
      <w:pPr>
        <w:numPr>
          <w:ilvl w:val="0"/>
          <w:numId w:val="3"/>
        </w:numPr>
        <w:spacing w:line="360" w:lineRule="auto"/>
        <w:jc w:val="both"/>
        <w:rPr>
          <w:rFonts w:ascii="Atkinson Hyperlegible" w:eastAsia="Atkinson Hyperlegible" w:hAnsi="Atkinson Hyperlegible" w:cs="Atkinson Hyperlegible"/>
          <w:sz w:val="24"/>
          <w:szCs w:val="24"/>
        </w:rPr>
      </w:pPr>
      <w:proofErr w:type="spellStart"/>
      <w:r>
        <w:rPr>
          <w:rFonts w:ascii="Atkinson Hyperlegible" w:eastAsia="Atkinson Hyperlegible" w:hAnsi="Atkinson Hyperlegible" w:cs="Atkinson Hyperlegible"/>
          <w:sz w:val="24"/>
          <w:szCs w:val="24"/>
        </w:rPr>
        <w:t>Exfiltrar</w:t>
      </w:r>
      <w:proofErr w:type="spellEnd"/>
      <w:r>
        <w:rPr>
          <w:rFonts w:ascii="Atkinson Hyperlegible" w:eastAsia="Atkinson Hyperlegible" w:hAnsi="Atkinson Hyperlegible" w:cs="Atkinson Hyperlegible"/>
          <w:sz w:val="24"/>
          <w:szCs w:val="24"/>
        </w:rPr>
        <w:t xml:space="preserve"> dados</w:t>
      </w:r>
    </w:p>
    <w:p w14:paraId="4D6DD075" w14:textId="77777777" w:rsidR="000E04F1" w:rsidRDefault="000E04F1">
      <w:pPr>
        <w:spacing w:line="360" w:lineRule="auto"/>
        <w:jc w:val="both"/>
        <w:rPr>
          <w:rFonts w:ascii="Atkinson Hyperlegible" w:eastAsia="Atkinson Hyperlegible" w:hAnsi="Atkinson Hyperlegible" w:cs="Atkinson Hyperlegible"/>
          <w:sz w:val="24"/>
          <w:szCs w:val="24"/>
        </w:rPr>
      </w:pPr>
    </w:p>
    <w:p w14:paraId="08E2E768" w14:textId="77777777" w:rsidR="000E04F1" w:rsidRDefault="00000000">
      <w:pPr>
        <w:pStyle w:val="Ttulo3"/>
        <w:spacing w:line="360" w:lineRule="auto"/>
        <w:jc w:val="both"/>
        <w:rPr>
          <w:b/>
        </w:rPr>
      </w:pPr>
      <w:bookmarkStart w:id="6" w:name="_cjx3bpav4upu" w:colFirst="0" w:colLast="0"/>
      <w:bookmarkEnd w:id="6"/>
      <w:r>
        <w:rPr>
          <w:b/>
        </w:rPr>
        <w:t>Pontos positivos</w:t>
      </w:r>
    </w:p>
    <w:p w14:paraId="03D43E87" w14:textId="77777777" w:rsidR="000E04F1" w:rsidRDefault="00000000">
      <w:pPr>
        <w:spacing w:after="120" w:line="360" w:lineRule="auto"/>
        <w:jc w:val="both"/>
        <w:rPr>
          <w:rFonts w:ascii="Atkinson Hyperlegible" w:eastAsia="Atkinson Hyperlegible" w:hAnsi="Atkinson Hyperlegible" w:cs="Atkinson Hyperlegible"/>
          <w:b/>
          <w:sz w:val="24"/>
          <w:szCs w:val="24"/>
        </w:rPr>
      </w:pPr>
      <w:r>
        <w:rPr>
          <w:rFonts w:ascii="Atkinson Hyperlegible" w:eastAsia="Atkinson Hyperlegible" w:hAnsi="Atkinson Hyperlegible" w:cs="Atkinson Hyperlegible"/>
          <w:sz w:val="24"/>
          <w:szCs w:val="24"/>
        </w:rPr>
        <w:t xml:space="preserve">Embora os compromissos da </w:t>
      </w:r>
      <w:proofErr w:type="spellStart"/>
      <w:r>
        <w:rPr>
          <w:rFonts w:ascii="Atkinson Hyperlegible" w:eastAsia="Atkinson Hyperlegible" w:hAnsi="Atkinson Hyperlegible" w:cs="Atkinson Hyperlegible"/>
          <w:sz w:val="24"/>
          <w:szCs w:val="24"/>
        </w:rPr>
        <w:t>Red</w:t>
      </w:r>
      <w:proofErr w:type="spellEnd"/>
      <w:r>
        <w:rPr>
          <w:rFonts w:ascii="Atkinson Hyperlegible" w:eastAsia="Atkinson Hyperlegible" w:hAnsi="Atkinson Hyperlegible" w:cs="Atkinson Hyperlegible"/>
          <w:sz w:val="24"/>
          <w:szCs w:val="24"/>
        </w:rPr>
        <w:t xml:space="preserve"> Team se concentrem nas fraquezas de segurança</w:t>
      </w:r>
    </w:p>
    <w:p w14:paraId="006F67EF" w14:textId="77777777" w:rsidR="000E04F1" w:rsidRDefault="00000000">
      <w:pPr>
        <w:spacing w:after="120" w:line="360" w:lineRule="auto"/>
        <w:jc w:val="both"/>
        <w:rPr>
          <w:rFonts w:ascii="Atkinson Hyperlegible" w:eastAsia="Atkinson Hyperlegible" w:hAnsi="Atkinson Hyperlegible" w:cs="Atkinson Hyperlegible"/>
          <w:sz w:val="24"/>
          <w:szCs w:val="24"/>
        </w:rPr>
      </w:pPr>
      <w:r>
        <w:rPr>
          <w:rFonts w:ascii="Atkinson Hyperlegible" w:eastAsia="Atkinson Hyperlegible" w:hAnsi="Atkinson Hyperlegible" w:cs="Atkinson Hyperlegible"/>
          <w:sz w:val="24"/>
          <w:szCs w:val="24"/>
        </w:rPr>
        <w:t>1 - Os usuários foram resilientes em clicar no e-mail e colocar suas credenciais</w:t>
      </w:r>
    </w:p>
    <w:p w14:paraId="4CF2F9B7" w14:textId="77777777" w:rsidR="000E04F1" w:rsidRDefault="00000000">
      <w:pPr>
        <w:spacing w:after="120" w:line="360" w:lineRule="auto"/>
        <w:jc w:val="both"/>
        <w:rPr>
          <w:rFonts w:ascii="Atkinson Hyperlegible" w:eastAsia="Atkinson Hyperlegible" w:hAnsi="Atkinson Hyperlegible" w:cs="Atkinson Hyperlegible"/>
          <w:sz w:val="24"/>
          <w:szCs w:val="24"/>
        </w:rPr>
      </w:pPr>
      <w:r>
        <w:rPr>
          <w:rFonts w:ascii="Atkinson Hyperlegible" w:eastAsia="Atkinson Hyperlegible" w:hAnsi="Atkinson Hyperlegible" w:cs="Atkinson Hyperlegible"/>
          <w:sz w:val="24"/>
          <w:szCs w:val="24"/>
        </w:rPr>
        <w:t xml:space="preserve">2 - </w:t>
      </w:r>
    </w:p>
    <w:p w14:paraId="2062BCAC" w14:textId="77777777" w:rsidR="000E04F1" w:rsidRDefault="00000000">
      <w:pPr>
        <w:spacing w:after="120" w:line="360" w:lineRule="auto"/>
        <w:jc w:val="both"/>
        <w:rPr>
          <w:rFonts w:ascii="Atkinson Hyperlegible" w:eastAsia="Atkinson Hyperlegible" w:hAnsi="Atkinson Hyperlegible" w:cs="Atkinson Hyperlegible"/>
          <w:sz w:val="24"/>
          <w:szCs w:val="24"/>
        </w:rPr>
      </w:pPr>
      <w:r>
        <w:rPr>
          <w:rFonts w:ascii="Atkinson Hyperlegible" w:eastAsia="Atkinson Hyperlegible" w:hAnsi="Atkinson Hyperlegible" w:cs="Atkinson Hyperlegible"/>
          <w:sz w:val="24"/>
          <w:szCs w:val="24"/>
        </w:rPr>
        <w:t xml:space="preserve">3- Abertura de chamado </w:t>
      </w:r>
    </w:p>
    <w:p w14:paraId="06ECD39A" w14:textId="77777777" w:rsidR="000E04F1" w:rsidRDefault="000E04F1">
      <w:pPr>
        <w:spacing w:line="360" w:lineRule="auto"/>
        <w:jc w:val="both"/>
        <w:rPr>
          <w:rFonts w:ascii="Atkinson Hyperlegible" w:eastAsia="Atkinson Hyperlegible" w:hAnsi="Atkinson Hyperlegible" w:cs="Atkinson Hyperlegible"/>
          <w:sz w:val="24"/>
          <w:szCs w:val="24"/>
        </w:rPr>
      </w:pPr>
    </w:p>
    <w:p w14:paraId="467E6880" w14:textId="77777777" w:rsidR="000E04F1" w:rsidRDefault="00000000">
      <w:pPr>
        <w:spacing w:line="360" w:lineRule="auto"/>
        <w:jc w:val="both"/>
        <w:rPr>
          <w:rFonts w:ascii="Atkinson Hyperlegible" w:eastAsia="Atkinson Hyperlegible" w:hAnsi="Atkinson Hyperlegible" w:cs="Atkinson Hyperlegible"/>
          <w:b/>
          <w:sz w:val="24"/>
          <w:szCs w:val="24"/>
        </w:rPr>
      </w:pPr>
      <w:r>
        <w:rPr>
          <w:rFonts w:ascii="Atkinson Hyperlegible" w:eastAsia="Atkinson Hyperlegible" w:hAnsi="Atkinson Hyperlegible" w:cs="Atkinson Hyperlegible"/>
          <w:b/>
          <w:sz w:val="24"/>
          <w:szCs w:val="24"/>
        </w:rPr>
        <w:t>Pontos negativos:</w:t>
      </w:r>
    </w:p>
    <w:p w14:paraId="7A7BE11F" w14:textId="77777777" w:rsidR="000E04F1" w:rsidRDefault="00000000">
      <w:pPr>
        <w:numPr>
          <w:ilvl w:val="0"/>
          <w:numId w:val="1"/>
        </w:numPr>
        <w:spacing w:line="360" w:lineRule="auto"/>
        <w:jc w:val="both"/>
        <w:rPr>
          <w:rFonts w:ascii="Atkinson Hyperlegible" w:eastAsia="Atkinson Hyperlegible" w:hAnsi="Atkinson Hyperlegible" w:cs="Atkinson Hyperlegible"/>
          <w:sz w:val="24"/>
          <w:szCs w:val="24"/>
        </w:rPr>
      </w:pPr>
      <w:r>
        <w:rPr>
          <w:rFonts w:ascii="Atkinson Hyperlegible" w:eastAsia="Atkinson Hyperlegible" w:hAnsi="Atkinson Hyperlegible" w:cs="Atkinson Hyperlegible"/>
          <w:sz w:val="24"/>
          <w:szCs w:val="24"/>
        </w:rPr>
        <w:t>Contudo foi feito o bloqueio do remetente e não do domínio, permitindo que o ataque continuasse através de outro remetente.</w:t>
      </w:r>
    </w:p>
    <w:p w14:paraId="7D784E4E" w14:textId="77777777" w:rsidR="000E04F1" w:rsidRDefault="000E04F1">
      <w:pPr>
        <w:spacing w:line="360" w:lineRule="auto"/>
        <w:jc w:val="both"/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</w:pPr>
    </w:p>
    <w:p w14:paraId="0B6103D8" w14:textId="77777777" w:rsidR="000E04F1" w:rsidRDefault="00000000">
      <w:pPr>
        <w:pStyle w:val="Ttulo3"/>
        <w:spacing w:before="0" w:after="0" w:line="259" w:lineRule="auto"/>
        <w:rPr>
          <w:rFonts w:ascii="Atkinson Hyperlegible" w:eastAsia="Atkinson Hyperlegible" w:hAnsi="Atkinson Hyperlegible" w:cs="Atkinson Hyperlegible"/>
          <w:b/>
          <w:color w:val="595959"/>
          <w:sz w:val="24"/>
          <w:szCs w:val="24"/>
        </w:rPr>
      </w:pPr>
      <w:bookmarkStart w:id="7" w:name="_valwbsry6gyu" w:colFirst="0" w:colLast="0"/>
      <w:bookmarkEnd w:id="7"/>
      <w:r>
        <w:rPr>
          <w:rFonts w:ascii="Atkinson Hyperlegible" w:eastAsia="Atkinson Hyperlegible" w:hAnsi="Atkinson Hyperlegible" w:cs="Atkinson Hyperlegible"/>
          <w:b/>
          <w:color w:val="595959"/>
          <w:sz w:val="24"/>
          <w:szCs w:val="24"/>
        </w:rPr>
        <w:t>Metodologia</w:t>
      </w:r>
    </w:p>
    <w:p w14:paraId="23DD328A" w14:textId="77777777" w:rsidR="000E04F1" w:rsidRDefault="00000000">
      <w:pPr>
        <w:spacing w:line="360" w:lineRule="auto"/>
        <w:jc w:val="both"/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</w:pPr>
      <w:r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  <w:t xml:space="preserve">Os compromissos da </w:t>
      </w:r>
      <w:proofErr w:type="spellStart"/>
      <w:r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  <w:t>Red</w:t>
      </w:r>
      <w:proofErr w:type="spellEnd"/>
      <w:r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  <w:t xml:space="preserve"> Team realizados pelo time de OffSec da XXX empregam técnicas de adversários reais para atingir os sistemas. Usando um modelo de </w:t>
      </w:r>
      <w:proofErr w:type="spellStart"/>
      <w:r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  <w:t>Red</w:t>
      </w:r>
      <w:proofErr w:type="spellEnd"/>
      <w:r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  <w:t xml:space="preserve"> Team que emula ferramentas, técnicas e procedimentos (TTPs) de adversários reais, orientados por cenários e objetivos de ataque. Ao contrário de um PenTest tradicional, o exercício de </w:t>
      </w:r>
      <w:proofErr w:type="spellStart"/>
      <w:r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  <w:t>red</w:t>
      </w:r>
      <w:proofErr w:type="spellEnd"/>
      <w:r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  <w:t xml:space="preserve"> </w:t>
      </w:r>
      <w:proofErr w:type="spellStart"/>
      <w:r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  <w:t>team</w:t>
      </w:r>
      <w:proofErr w:type="spellEnd"/>
      <w:r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  <w:t xml:space="preserve"> permite testar todo o escopo de segurança de uma organização, incluindo pessoas, processos e tecnologia.</w:t>
      </w:r>
    </w:p>
    <w:p w14:paraId="77E88D07" w14:textId="77777777" w:rsidR="000E04F1" w:rsidRDefault="000E04F1">
      <w:pPr>
        <w:spacing w:line="360" w:lineRule="auto"/>
        <w:jc w:val="both"/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</w:pPr>
    </w:p>
    <w:p w14:paraId="2F774EE3" w14:textId="77777777" w:rsidR="000E04F1" w:rsidRDefault="00000000">
      <w:pPr>
        <w:pStyle w:val="Ttulo3"/>
        <w:spacing w:before="120" w:after="120" w:line="240" w:lineRule="auto"/>
        <w:rPr>
          <w:rFonts w:ascii="Atkinson Hyperlegible" w:eastAsia="Atkinson Hyperlegible" w:hAnsi="Atkinson Hyperlegible" w:cs="Atkinson Hyperlegible"/>
          <w:b/>
          <w:color w:val="595959"/>
          <w:sz w:val="24"/>
          <w:szCs w:val="24"/>
        </w:rPr>
      </w:pPr>
      <w:bookmarkStart w:id="8" w:name="_nn37y8btu1u1" w:colFirst="0" w:colLast="0"/>
      <w:bookmarkEnd w:id="8"/>
      <w:r>
        <w:rPr>
          <w:rFonts w:ascii="Atkinson Hyperlegible" w:eastAsia="Atkinson Hyperlegible" w:hAnsi="Atkinson Hyperlegible" w:cs="Atkinson Hyperlegible"/>
          <w:b/>
          <w:color w:val="595959"/>
          <w:sz w:val="24"/>
          <w:szCs w:val="24"/>
        </w:rPr>
        <w:lastRenderedPageBreak/>
        <w:t>Cenários</w:t>
      </w:r>
    </w:p>
    <w:p w14:paraId="0F1A325C" w14:textId="77777777" w:rsidR="000E04F1" w:rsidRDefault="00000000">
      <w:pPr>
        <w:spacing w:after="120" w:line="360" w:lineRule="auto"/>
        <w:jc w:val="both"/>
        <w:rPr>
          <w:rFonts w:ascii="Atkinson Hyperlegible" w:eastAsia="Atkinson Hyperlegible" w:hAnsi="Atkinson Hyperlegible" w:cs="Atkinson Hyperlegible"/>
          <w:sz w:val="24"/>
          <w:szCs w:val="24"/>
        </w:rPr>
      </w:pPr>
      <w:r>
        <w:rPr>
          <w:rFonts w:ascii="Atkinson Hyperlegible" w:eastAsia="Atkinson Hyperlegible" w:hAnsi="Atkinson Hyperlegible" w:cs="Atkinson Hyperlegible"/>
          <w:sz w:val="24"/>
          <w:szCs w:val="24"/>
        </w:rPr>
        <w:t xml:space="preserve">O Exercício do </w:t>
      </w:r>
      <w:proofErr w:type="spellStart"/>
      <w:r>
        <w:rPr>
          <w:rFonts w:ascii="Atkinson Hyperlegible" w:eastAsia="Atkinson Hyperlegible" w:hAnsi="Atkinson Hyperlegible" w:cs="Atkinson Hyperlegible"/>
          <w:sz w:val="24"/>
          <w:szCs w:val="24"/>
        </w:rPr>
        <w:t>Red</w:t>
      </w:r>
      <w:proofErr w:type="spellEnd"/>
      <w:r>
        <w:rPr>
          <w:rFonts w:ascii="Atkinson Hyperlegible" w:eastAsia="Atkinson Hyperlegible" w:hAnsi="Atkinson Hyperlegible" w:cs="Atkinson Hyperlegible"/>
          <w:sz w:val="24"/>
          <w:szCs w:val="24"/>
        </w:rPr>
        <w:t xml:space="preserve"> Team foi baseado em um ataque de phishing coordenado para iniciar o teste contra usuários que não tinham conhecimento do envolvimento. </w:t>
      </w:r>
    </w:p>
    <w:p w14:paraId="7B0AA95E" w14:textId="77777777" w:rsidR="000E04F1" w:rsidRDefault="00000000">
      <w:pPr>
        <w:pStyle w:val="Ttulo3"/>
        <w:spacing w:before="120" w:after="120" w:line="240" w:lineRule="auto"/>
        <w:rPr>
          <w:rFonts w:ascii="Atkinson Hyperlegible" w:eastAsia="Atkinson Hyperlegible" w:hAnsi="Atkinson Hyperlegible" w:cs="Atkinson Hyperlegible"/>
          <w:b/>
          <w:color w:val="595959"/>
          <w:sz w:val="24"/>
          <w:szCs w:val="24"/>
        </w:rPr>
      </w:pPr>
      <w:bookmarkStart w:id="9" w:name="_w4kjkxw2zf40" w:colFirst="0" w:colLast="0"/>
      <w:bookmarkEnd w:id="9"/>
      <w:r>
        <w:rPr>
          <w:rFonts w:ascii="Atkinson Hyperlegible" w:eastAsia="Atkinson Hyperlegible" w:hAnsi="Atkinson Hyperlegible" w:cs="Atkinson Hyperlegible"/>
          <w:b/>
          <w:color w:val="595959"/>
          <w:sz w:val="24"/>
          <w:szCs w:val="24"/>
        </w:rPr>
        <w:t xml:space="preserve">Plano de Testes com base no </w:t>
      </w:r>
      <w:proofErr w:type="spellStart"/>
      <w:r>
        <w:rPr>
          <w:rFonts w:ascii="Atkinson Hyperlegible" w:eastAsia="Atkinson Hyperlegible" w:hAnsi="Atkinson Hyperlegible" w:cs="Atkinson Hyperlegible"/>
          <w:b/>
          <w:color w:val="595959"/>
          <w:sz w:val="24"/>
          <w:szCs w:val="24"/>
        </w:rPr>
        <w:t>Att&amp;ck</w:t>
      </w:r>
      <w:proofErr w:type="spellEnd"/>
    </w:p>
    <w:p w14:paraId="631072F5" w14:textId="77777777" w:rsidR="000E04F1" w:rsidRDefault="000E04F1">
      <w:pPr>
        <w:spacing w:line="360" w:lineRule="auto"/>
        <w:jc w:val="both"/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</w:pPr>
    </w:p>
    <w:p w14:paraId="09170BEE" w14:textId="77777777" w:rsidR="000E04F1" w:rsidRDefault="00000000">
      <w:pPr>
        <w:spacing w:line="360" w:lineRule="auto"/>
        <w:jc w:val="both"/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</w:pPr>
      <w:r>
        <w:rPr>
          <w:rFonts w:ascii="Atkinson Hyperlegible" w:eastAsia="Atkinson Hyperlegible" w:hAnsi="Atkinson Hyperlegible" w:cs="Atkinson Hyperlegible"/>
          <w:noProof/>
          <w:color w:val="464646"/>
          <w:sz w:val="24"/>
          <w:szCs w:val="24"/>
        </w:rPr>
        <w:drawing>
          <wp:inline distT="114300" distB="114300" distL="114300" distR="114300" wp14:anchorId="09D1CBE1" wp14:editId="508728A4">
            <wp:extent cx="6120000" cy="3467100"/>
            <wp:effectExtent l="12700" t="12700" r="12700" b="127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67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43164A7" w14:textId="77777777" w:rsidR="000E04F1" w:rsidRDefault="00000000">
      <w:pPr>
        <w:spacing w:line="360" w:lineRule="auto"/>
        <w:jc w:val="both"/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</w:pPr>
      <w:r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  <w:t xml:space="preserve">Figura 1: TTPs do exercício </w:t>
      </w:r>
    </w:p>
    <w:p w14:paraId="05EF478B" w14:textId="77777777" w:rsidR="000E04F1" w:rsidRDefault="000E04F1">
      <w:pPr>
        <w:spacing w:line="360" w:lineRule="auto"/>
        <w:jc w:val="both"/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</w:pPr>
    </w:p>
    <w:p w14:paraId="4798500D" w14:textId="77777777" w:rsidR="000E04F1" w:rsidRDefault="00000000">
      <w:pPr>
        <w:spacing w:line="360" w:lineRule="auto"/>
        <w:jc w:val="both"/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</w:pPr>
      <w:r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  <w:t xml:space="preserve">Vermelho: Indica técnicas críticas que são ativamente utilizadas em campanhas maliciosas e que requerem atenção imediata para mitigação. Como os métodos de acesso inicial como </w:t>
      </w:r>
      <w:proofErr w:type="spellStart"/>
      <w:r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  <w:t>spear</w:t>
      </w:r>
      <w:proofErr w:type="spellEnd"/>
      <w:r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  <w:t xml:space="preserve"> phishing, execução de códigos maliciosos, comando e controle e </w:t>
      </w:r>
      <w:proofErr w:type="spellStart"/>
      <w:r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  <w:t>exfiltração</w:t>
      </w:r>
      <w:proofErr w:type="spellEnd"/>
      <w:r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  <w:t xml:space="preserve"> de dados.</w:t>
      </w:r>
    </w:p>
    <w:p w14:paraId="3943D12C" w14:textId="77777777" w:rsidR="000E04F1" w:rsidRDefault="000E04F1">
      <w:pPr>
        <w:spacing w:line="360" w:lineRule="auto"/>
        <w:jc w:val="both"/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</w:pPr>
    </w:p>
    <w:p w14:paraId="79BC65A4" w14:textId="77777777" w:rsidR="000E04F1" w:rsidRDefault="00000000">
      <w:pPr>
        <w:spacing w:line="360" w:lineRule="auto"/>
        <w:jc w:val="both"/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</w:pPr>
      <w:r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  <w:t>Laranja: Pode representar técnicas de alto risco que, ainda representam uma ameaça significativa. Como contas válidas que podem dar acesso a serviços internos.</w:t>
      </w:r>
    </w:p>
    <w:p w14:paraId="4B942A8E" w14:textId="77777777" w:rsidR="000E04F1" w:rsidRDefault="000E04F1">
      <w:pPr>
        <w:spacing w:line="360" w:lineRule="auto"/>
        <w:jc w:val="both"/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</w:pPr>
    </w:p>
    <w:p w14:paraId="0E316BAC" w14:textId="77777777" w:rsidR="000E04F1" w:rsidRDefault="00000000">
      <w:pPr>
        <w:spacing w:line="360" w:lineRule="auto"/>
        <w:jc w:val="both"/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</w:pPr>
      <w:r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  <w:t xml:space="preserve">Verde: Geralmente estão associados a técnicas que são menos críticas ou menos comuns, mas que ainda precisam ser endereçadas pelas equipes de segurança. Como </w:t>
      </w:r>
      <w:r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  <w:lastRenderedPageBreak/>
        <w:t>métodos de persistência como uso de serviços legítimos ou táticas de evasão de defesa como a desativação de controles de segurança.</w:t>
      </w:r>
    </w:p>
    <w:p w14:paraId="18FC500C" w14:textId="77777777" w:rsidR="000E04F1" w:rsidRDefault="000E04F1">
      <w:pPr>
        <w:spacing w:line="360" w:lineRule="auto"/>
        <w:jc w:val="both"/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</w:pPr>
    </w:p>
    <w:p w14:paraId="2297966E" w14:textId="77777777" w:rsidR="000E04F1" w:rsidRDefault="000E04F1">
      <w:pPr>
        <w:spacing w:line="360" w:lineRule="auto"/>
        <w:jc w:val="both"/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</w:pPr>
    </w:p>
    <w:p w14:paraId="2C72CB09" w14:textId="77777777" w:rsidR="000E04F1" w:rsidRDefault="00000000">
      <w:pPr>
        <w:pStyle w:val="Ttulo3"/>
        <w:spacing w:before="0" w:after="0" w:line="259" w:lineRule="auto"/>
        <w:rPr>
          <w:rFonts w:ascii="Atkinson Hyperlegible" w:eastAsia="Atkinson Hyperlegible" w:hAnsi="Atkinson Hyperlegible" w:cs="Atkinson Hyperlegible"/>
          <w:b/>
          <w:color w:val="595959"/>
          <w:sz w:val="24"/>
          <w:szCs w:val="24"/>
        </w:rPr>
      </w:pPr>
      <w:bookmarkStart w:id="10" w:name="_u6xjju7n9ctf" w:colFirst="0" w:colLast="0"/>
      <w:bookmarkEnd w:id="10"/>
      <w:r>
        <w:rPr>
          <w:rFonts w:ascii="Atkinson Hyperlegible" w:eastAsia="Atkinson Hyperlegible" w:hAnsi="Atkinson Hyperlegible" w:cs="Atkinson Hyperlegible"/>
          <w:b/>
          <w:color w:val="595959"/>
          <w:sz w:val="24"/>
          <w:szCs w:val="24"/>
        </w:rPr>
        <w:t xml:space="preserve">Escopo </w:t>
      </w:r>
    </w:p>
    <w:p w14:paraId="4AE3E046" w14:textId="608B3BB7" w:rsidR="000E04F1" w:rsidRDefault="00000000">
      <w:pPr>
        <w:spacing w:after="120" w:line="240" w:lineRule="auto"/>
        <w:jc w:val="both"/>
        <w:rPr>
          <w:rFonts w:ascii="Atkinson Hyperlegible" w:eastAsia="Atkinson Hyperlegible" w:hAnsi="Atkinson Hyperlegible" w:cs="Atkinson Hyperlegible"/>
          <w:sz w:val="24"/>
          <w:szCs w:val="24"/>
        </w:rPr>
      </w:pPr>
      <w:r>
        <w:rPr>
          <w:rFonts w:ascii="Atkinson Hyperlegible" w:eastAsia="Atkinson Hyperlegible" w:hAnsi="Atkinson Hyperlegible" w:cs="Atkinson Hyperlegible"/>
          <w:sz w:val="24"/>
          <w:szCs w:val="24"/>
        </w:rPr>
        <w:t>O Escopo é a infraestrutura da XXX</w:t>
      </w:r>
      <w:r w:rsidR="00A96636">
        <w:rPr>
          <w:rFonts w:ascii="Atkinson Hyperlegible" w:eastAsia="Atkinson Hyperlegible" w:hAnsi="Atkinson Hyperlegible" w:cs="Atkinson Hyperlegible"/>
          <w:sz w:val="24"/>
          <w:szCs w:val="24"/>
        </w:rPr>
        <w:t xml:space="preserve"> e</w:t>
      </w:r>
      <w:r>
        <w:rPr>
          <w:rFonts w:ascii="Atkinson Hyperlegible" w:eastAsia="Atkinson Hyperlegible" w:hAnsi="Atkinson Hyperlegible" w:cs="Atkinson Hyperlegible"/>
          <w:sz w:val="24"/>
          <w:szCs w:val="24"/>
        </w:rPr>
        <w:t xml:space="preserve"> os usuários da área </w:t>
      </w:r>
      <w:proofErr w:type="spellStart"/>
      <w:r w:rsidR="00A96636">
        <w:rPr>
          <w:rFonts w:ascii="Atkinson Hyperlegible" w:eastAsia="Atkinson Hyperlegible" w:hAnsi="Atkinson Hyperlegible" w:cs="Atkinson Hyperlegible"/>
          <w:sz w:val="24"/>
          <w:szCs w:val="24"/>
        </w:rPr>
        <w:t>xxxx</w:t>
      </w:r>
      <w:proofErr w:type="spellEnd"/>
    </w:p>
    <w:p w14:paraId="231FCCA0" w14:textId="77777777" w:rsidR="000E04F1" w:rsidRDefault="000E04F1">
      <w:pPr>
        <w:spacing w:before="120" w:after="120" w:line="240" w:lineRule="auto"/>
        <w:jc w:val="both"/>
        <w:rPr>
          <w:rFonts w:ascii="Atkinson Hyperlegible" w:eastAsia="Atkinson Hyperlegible" w:hAnsi="Atkinson Hyperlegible" w:cs="Atkinson Hyperlegible"/>
          <w:b/>
          <w:color w:val="464646"/>
          <w:sz w:val="24"/>
          <w:szCs w:val="24"/>
        </w:rPr>
      </w:pPr>
    </w:p>
    <w:p w14:paraId="15F9DEE2" w14:textId="77777777" w:rsidR="000E04F1" w:rsidRDefault="00000000">
      <w:pPr>
        <w:pStyle w:val="Ttulo3"/>
        <w:spacing w:before="120" w:after="120" w:line="240" w:lineRule="auto"/>
        <w:rPr>
          <w:rFonts w:ascii="Atkinson Hyperlegible" w:eastAsia="Atkinson Hyperlegible" w:hAnsi="Atkinson Hyperlegible" w:cs="Atkinson Hyperlegible"/>
          <w:b/>
          <w:color w:val="595959"/>
          <w:sz w:val="24"/>
          <w:szCs w:val="24"/>
        </w:rPr>
      </w:pPr>
      <w:bookmarkStart w:id="11" w:name="_mbeztfi6eeur" w:colFirst="0" w:colLast="0"/>
      <w:bookmarkEnd w:id="11"/>
      <w:r>
        <w:rPr>
          <w:rFonts w:ascii="Atkinson Hyperlegible" w:eastAsia="Atkinson Hyperlegible" w:hAnsi="Atkinson Hyperlegible" w:cs="Atkinson Hyperlegible"/>
          <w:b/>
          <w:color w:val="595959"/>
          <w:sz w:val="24"/>
          <w:szCs w:val="24"/>
        </w:rPr>
        <w:t>Diversos</w:t>
      </w:r>
    </w:p>
    <w:p w14:paraId="2DE845E4" w14:textId="77777777" w:rsidR="000E04F1" w:rsidRDefault="00000000">
      <w:pPr>
        <w:spacing w:after="120" w:line="240" w:lineRule="auto"/>
        <w:jc w:val="both"/>
        <w:rPr>
          <w:rFonts w:ascii="Atkinson Hyperlegible" w:eastAsia="Atkinson Hyperlegible" w:hAnsi="Atkinson Hyperlegible" w:cs="Atkinson Hyperlegible"/>
          <w:sz w:val="24"/>
          <w:szCs w:val="24"/>
        </w:rPr>
      </w:pPr>
      <w:r>
        <w:rPr>
          <w:rFonts w:ascii="Atkinson Hyperlegible" w:eastAsia="Atkinson Hyperlegible" w:hAnsi="Atkinson Hyperlegible" w:cs="Atkinson Hyperlegible"/>
          <w:sz w:val="24"/>
          <w:szCs w:val="24"/>
        </w:rPr>
        <w:t>Sem informações extras</w:t>
      </w:r>
    </w:p>
    <w:p w14:paraId="42CE01BD" w14:textId="77777777" w:rsidR="000E04F1" w:rsidRDefault="000E04F1">
      <w:pPr>
        <w:spacing w:line="360" w:lineRule="auto"/>
        <w:jc w:val="both"/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</w:pPr>
    </w:p>
    <w:p w14:paraId="74257531" w14:textId="77777777" w:rsidR="000E04F1" w:rsidRDefault="00000000">
      <w:pPr>
        <w:pStyle w:val="Ttulo3"/>
        <w:spacing w:before="0" w:after="0" w:line="259" w:lineRule="auto"/>
        <w:rPr>
          <w:rFonts w:ascii="Atkinson Hyperlegible" w:eastAsia="Atkinson Hyperlegible" w:hAnsi="Atkinson Hyperlegible" w:cs="Atkinson Hyperlegible"/>
          <w:b/>
          <w:color w:val="595959"/>
          <w:sz w:val="24"/>
          <w:szCs w:val="24"/>
        </w:rPr>
      </w:pPr>
      <w:bookmarkStart w:id="12" w:name="_jwgeotw5a4bp" w:colFirst="0" w:colLast="0"/>
      <w:bookmarkEnd w:id="12"/>
      <w:r>
        <w:rPr>
          <w:rFonts w:ascii="Atkinson Hyperlegible" w:eastAsia="Atkinson Hyperlegible" w:hAnsi="Atkinson Hyperlegible" w:cs="Atkinson Hyperlegible"/>
          <w:b/>
          <w:color w:val="595959"/>
          <w:sz w:val="24"/>
          <w:szCs w:val="24"/>
        </w:rPr>
        <w:t>Narrativa do Ataque</w:t>
      </w:r>
    </w:p>
    <w:p w14:paraId="5C0DC838" w14:textId="77777777" w:rsidR="000E04F1" w:rsidRDefault="00000000">
      <w:pPr>
        <w:spacing w:line="360" w:lineRule="auto"/>
        <w:jc w:val="both"/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</w:pPr>
      <w:r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  <w:t xml:space="preserve">A seção a seguir descreve a sequência de eventos e destaca os </w:t>
      </w:r>
      <w:proofErr w:type="spellStart"/>
      <w:r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  <w:t>pontos-chave</w:t>
      </w:r>
      <w:proofErr w:type="spellEnd"/>
      <w:r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  <w:t xml:space="preserve"> durante o envolvimento:</w:t>
      </w:r>
    </w:p>
    <w:p w14:paraId="17C6EA15" w14:textId="77777777" w:rsidR="000E04F1" w:rsidRDefault="000E04F1">
      <w:pPr>
        <w:spacing w:line="360" w:lineRule="auto"/>
        <w:jc w:val="both"/>
        <w:rPr>
          <w:rFonts w:ascii="Atkinson Hyperlegible" w:eastAsia="Atkinson Hyperlegible" w:hAnsi="Atkinson Hyperlegible" w:cs="Atkinson Hyperlegible"/>
          <w:b/>
          <w:color w:val="464646"/>
          <w:sz w:val="24"/>
          <w:szCs w:val="24"/>
        </w:rPr>
      </w:pPr>
    </w:p>
    <w:p w14:paraId="450EE405" w14:textId="77777777" w:rsidR="000E04F1" w:rsidRDefault="00000000">
      <w:pPr>
        <w:spacing w:line="360" w:lineRule="auto"/>
        <w:jc w:val="both"/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</w:pPr>
      <w:r>
        <w:rPr>
          <w:rFonts w:ascii="Atkinson Hyperlegible" w:eastAsia="Atkinson Hyperlegible" w:hAnsi="Atkinson Hyperlegible" w:cs="Atkinson Hyperlegible"/>
          <w:b/>
          <w:color w:val="464646"/>
          <w:sz w:val="24"/>
          <w:szCs w:val="24"/>
        </w:rPr>
        <w:t xml:space="preserve">Figura 2: Fluxo de ataque - </w:t>
      </w:r>
      <w:proofErr w:type="spellStart"/>
      <w:r>
        <w:rPr>
          <w:rFonts w:ascii="Atkinson Hyperlegible" w:eastAsia="Atkinson Hyperlegible" w:hAnsi="Atkinson Hyperlegible" w:cs="Atkinson Hyperlegible"/>
          <w:b/>
          <w:color w:val="464646"/>
          <w:sz w:val="24"/>
          <w:szCs w:val="24"/>
        </w:rPr>
        <w:t>Spear</w:t>
      </w:r>
      <w:proofErr w:type="spellEnd"/>
      <w:r>
        <w:rPr>
          <w:rFonts w:ascii="Atkinson Hyperlegible" w:eastAsia="Atkinson Hyperlegible" w:hAnsi="Atkinson Hyperlegible" w:cs="Atkinson Hyperlegible"/>
          <w:b/>
          <w:color w:val="464646"/>
          <w:sz w:val="24"/>
          <w:szCs w:val="24"/>
        </w:rPr>
        <w:t>-Phishing e C2</w:t>
      </w:r>
    </w:p>
    <w:p w14:paraId="674E7D17" w14:textId="49EFA832" w:rsidR="000E04F1" w:rsidRDefault="003A5545">
      <w:pPr>
        <w:spacing w:line="360" w:lineRule="auto"/>
        <w:jc w:val="both"/>
        <w:rPr>
          <w:rFonts w:ascii="Atkinson Hyperlegible" w:eastAsia="Atkinson Hyperlegible" w:hAnsi="Atkinson Hyperlegible" w:cs="Atkinson Hyperlegible"/>
          <w:b/>
          <w:color w:val="464646"/>
          <w:sz w:val="24"/>
          <w:szCs w:val="24"/>
        </w:rPr>
      </w:pPr>
      <w:r>
        <w:rPr>
          <w:rFonts w:ascii="Atkinson Hyperlegible" w:eastAsia="Atkinson Hyperlegible" w:hAnsi="Atkinson Hyperlegible" w:cs="Atkinson Hyperlegible"/>
          <w:b/>
          <w:color w:val="464646"/>
          <w:sz w:val="24"/>
          <w:szCs w:val="24"/>
        </w:rPr>
        <w:t>Recon</w:t>
      </w:r>
    </w:p>
    <w:p w14:paraId="4921BD10" w14:textId="1008C73B" w:rsidR="000E04F1" w:rsidRDefault="00000000">
      <w:pPr>
        <w:spacing w:line="360" w:lineRule="auto"/>
        <w:jc w:val="both"/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</w:pPr>
      <w:r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  <w:t>Para iniciar, os atacantes realizam uma pesquisa detalhada sobre o alvo, coletando informações que podem incluir nomes de funcionários, cargos, detalhes de contato e qualquer outra informação relevante que possa aumentar a veracidade do ataque.</w:t>
      </w:r>
    </w:p>
    <w:p w14:paraId="459248DD" w14:textId="77777777" w:rsidR="003A5545" w:rsidRDefault="003A5545">
      <w:pPr>
        <w:spacing w:line="360" w:lineRule="auto"/>
        <w:jc w:val="both"/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</w:pPr>
    </w:p>
    <w:p w14:paraId="1730D703" w14:textId="0A145C30" w:rsidR="003A5545" w:rsidRPr="003A5545" w:rsidRDefault="003A5545">
      <w:pPr>
        <w:spacing w:line="360" w:lineRule="auto"/>
        <w:jc w:val="both"/>
        <w:rPr>
          <w:rFonts w:ascii="Atkinson Hyperlegible" w:eastAsia="Atkinson Hyperlegible" w:hAnsi="Atkinson Hyperlegible" w:cs="Atkinson Hyperlegible"/>
          <w:b/>
          <w:bCs/>
          <w:color w:val="464646"/>
          <w:sz w:val="24"/>
          <w:szCs w:val="24"/>
        </w:rPr>
      </w:pPr>
      <w:r w:rsidRPr="003A5545">
        <w:rPr>
          <w:rFonts w:ascii="Atkinson Hyperlegible" w:eastAsia="Atkinson Hyperlegible" w:hAnsi="Atkinson Hyperlegible" w:cs="Atkinson Hyperlegible"/>
          <w:b/>
          <w:bCs/>
          <w:color w:val="464646"/>
          <w:sz w:val="24"/>
          <w:szCs w:val="24"/>
        </w:rPr>
        <w:t>Acesso Inicial</w:t>
      </w:r>
    </w:p>
    <w:p w14:paraId="2E5EE342" w14:textId="77777777" w:rsidR="000E04F1" w:rsidRDefault="000E04F1">
      <w:pPr>
        <w:spacing w:line="360" w:lineRule="auto"/>
        <w:jc w:val="both"/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</w:pPr>
    </w:p>
    <w:p w14:paraId="094129A8" w14:textId="77777777" w:rsidR="000E04F1" w:rsidRDefault="00000000">
      <w:pPr>
        <w:spacing w:line="360" w:lineRule="auto"/>
        <w:jc w:val="both"/>
        <w:rPr>
          <w:rFonts w:ascii="Atkinson Hyperlegible" w:eastAsia="Atkinson Hyperlegible" w:hAnsi="Atkinson Hyperlegible" w:cs="Atkinson Hyperlegible"/>
          <w:b/>
          <w:color w:val="464646"/>
          <w:sz w:val="24"/>
          <w:szCs w:val="24"/>
        </w:rPr>
      </w:pPr>
      <w:r>
        <w:rPr>
          <w:rFonts w:ascii="Atkinson Hyperlegible" w:eastAsia="Atkinson Hyperlegible" w:hAnsi="Atkinson Hyperlegible" w:cs="Atkinson Hyperlegible"/>
          <w:b/>
          <w:color w:val="464646"/>
          <w:sz w:val="24"/>
          <w:szCs w:val="24"/>
        </w:rPr>
        <w:t>Credencial de Acesso</w:t>
      </w:r>
    </w:p>
    <w:p w14:paraId="23E7BADF" w14:textId="77777777" w:rsidR="000E04F1" w:rsidRDefault="00000000">
      <w:pPr>
        <w:spacing w:line="360" w:lineRule="auto"/>
        <w:jc w:val="both"/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</w:pPr>
      <w:r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  <w:t>Em relação ao acesso às credenciais, a estratégia consiste em capturar essas credenciais para, então, acessar outros ambientes internos. Uma vez dentro, o foco se volta para a coleta de informações confidenciais e dados valiosos.</w:t>
      </w:r>
    </w:p>
    <w:p w14:paraId="0BF8B044" w14:textId="77777777" w:rsidR="000E04F1" w:rsidRDefault="00000000">
      <w:pPr>
        <w:pStyle w:val="Ttulo3"/>
        <w:spacing w:before="0" w:after="0" w:line="259" w:lineRule="auto"/>
        <w:rPr>
          <w:rFonts w:ascii="Atkinson Hyperlegible" w:eastAsia="Atkinson Hyperlegible" w:hAnsi="Atkinson Hyperlegible" w:cs="Atkinson Hyperlegible"/>
          <w:b/>
          <w:color w:val="595959"/>
          <w:sz w:val="24"/>
          <w:szCs w:val="24"/>
        </w:rPr>
      </w:pPr>
      <w:bookmarkStart w:id="13" w:name="_drub95pqqumz" w:colFirst="0" w:colLast="0"/>
      <w:bookmarkEnd w:id="13"/>
      <w:proofErr w:type="spellStart"/>
      <w:r>
        <w:rPr>
          <w:rFonts w:ascii="Atkinson Hyperlegible" w:eastAsia="Atkinson Hyperlegible" w:hAnsi="Atkinson Hyperlegible" w:cs="Atkinson Hyperlegible"/>
          <w:b/>
          <w:color w:val="595959"/>
          <w:sz w:val="24"/>
          <w:szCs w:val="24"/>
        </w:rPr>
        <w:t>OpSec</w:t>
      </w:r>
      <w:proofErr w:type="spellEnd"/>
    </w:p>
    <w:p w14:paraId="5E8EDD78" w14:textId="77777777" w:rsidR="000E04F1" w:rsidRDefault="000E04F1">
      <w:pPr>
        <w:spacing w:line="360" w:lineRule="auto"/>
        <w:jc w:val="both"/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</w:pPr>
    </w:p>
    <w:p w14:paraId="29D32A59" w14:textId="77777777" w:rsidR="000E04F1" w:rsidRDefault="00000000">
      <w:pPr>
        <w:spacing w:line="360" w:lineRule="auto"/>
        <w:jc w:val="both"/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</w:pPr>
      <w:r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  <w:t xml:space="preserve">Lista de técnicas de </w:t>
      </w:r>
      <w:proofErr w:type="spellStart"/>
      <w:r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  <w:t>OpSec</w:t>
      </w:r>
      <w:proofErr w:type="spellEnd"/>
      <w:r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  <w:t xml:space="preserve"> utilizadas:</w:t>
      </w:r>
    </w:p>
    <w:p w14:paraId="250C656F" w14:textId="77777777" w:rsidR="000E04F1" w:rsidRDefault="000E04F1">
      <w:pPr>
        <w:spacing w:line="360" w:lineRule="auto"/>
        <w:jc w:val="both"/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</w:pPr>
    </w:p>
    <w:p w14:paraId="679C29A4" w14:textId="77777777" w:rsidR="000E04F1" w:rsidRDefault="00000000">
      <w:pPr>
        <w:numPr>
          <w:ilvl w:val="0"/>
          <w:numId w:val="4"/>
        </w:numPr>
        <w:spacing w:line="360" w:lineRule="auto"/>
        <w:jc w:val="both"/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</w:pPr>
      <w:r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  <w:t>Escolher alvos que provavelmente têm as informações desejadas e são suscetíveis ao ataque.</w:t>
      </w:r>
    </w:p>
    <w:p w14:paraId="6CF65C01" w14:textId="77777777" w:rsidR="000E04F1" w:rsidRDefault="00000000">
      <w:pPr>
        <w:numPr>
          <w:ilvl w:val="0"/>
          <w:numId w:val="4"/>
        </w:numPr>
        <w:spacing w:line="360" w:lineRule="auto"/>
        <w:jc w:val="both"/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</w:pPr>
      <w:r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  <w:lastRenderedPageBreak/>
        <w:t>Utilizar técnicas para disfarçar o phishing e evitar detecção por filtros de e-mail e software antivírus.</w:t>
      </w:r>
    </w:p>
    <w:p w14:paraId="423493FD" w14:textId="77777777" w:rsidR="000E04F1" w:rsidRDefault="00000000">
      <w:pPr>
        <w:numPr>
          <w:ilvl w:val="0"/>
          <w:numId w:val="4"/>
        </w:numPr>
        <w:spacing w:line="360" w:lineRule="auto"/>
        <w:jc w:val="both"/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</w:pPr>
      <w:r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  <w:t xml:space="preserve">Registrar domínios que são visualmente semelhantes aos legítimos e dificilmente detectáveis como fraudulentos.  Como o uso do IDN </w:t>
      </w:r>
      <w:proofErr w:type="spellStart"/>
      <w:r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  <w:t>Homograph</w:t>
      </w:r>
      <w:proofErr w:type="spellEnd"/>
      <w:r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  <w:t xml:space="preserve"> para criar um dominio quase parecido.</w:t>
      </w:r>
    </w:p>
    <w:p w14:paraId="761E340A" w14:textId="77777777" w:rsidR="000E04F1" w:rsidRDefault="00000000">
      <w:pPr>
        <w:numPr>
          <w:ilvl w:val="0"/>
          <w:numId w:val="4"/>
        </w:numPr>
        <w:spacing w:line="360" w:lineRule="auto"/>
        <w:jc w:val="both"/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</w:pPr>
      <w:r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  <w:t>Executar campanhas de teste para medir a eficácia e detecção dos e-mails de phishing.</w:t>
      </w:r>
    </w:p>
    <w:p w14:paraId="7FBF4962" w14:textId="77777777" w:rsidR="000E04F1" w:rsidRDefault="00000000">
      <w:pPr>
        <w:numPr>
          <w:ilvl w:val="0"/>
          <w:numId w:val="4"/>
        </w:numPr>
        <w:spacing w:line="360" w:lineRule="auto"/>
        <w:jc w:val="both"/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</w:pPr>
      <w:r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  <w:t>Usar técnicas para minimizar a pegada digital deixada nas comunicações e hospedagem.</w:t>
      </w:r>
    </w:p>
    <w:p w14:paraId="686F2837" w14:textId="77777777" w:rsidR="000E04F1" w:rsidRDefault="00000000">
      <w:pPr>
        <w:numPr>
          <w:ilvl w:val="0"/>
          <w:numId w:val="4"/>
        </w:numPr>
        <w:spacing w:line="360" w:lineRule="auto"/>
        <w:jc w:val="both"/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</w:pPr>
      <w:r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  <w:t>Variar os tempos de comunicação e a quantidade de dados transmitidos para evitar a criação de padrões detectáveis.</w:t>
      </w:r>
    </w:p>
    <w:p w14:paraId="0B66AA50" w14:textId="77777777" w:rsidR="000E04F1" w:rsidRDefault="000E04F1">
      <w:pPr>
        <w:keepNext/>
        <w:keepLines/>
        <w:spacing w:line="264" w:lineRule="auto"/>
        <w:rPr>
          <w:rFonts w:ascii="Atkinson Hyperlegible" w:eastAsia="Atkinson Hyperlegible" w:hAnsi="Atkinson Hyperlegible" w:cs="Atkinson Hyperlegible"/>
          <w:color w:val="464646"/>
          <w:sz w:val="24"/>
          <w:szCs w:val="24"/>
        </w:rPr>
      </w:pPr>
    </w:p>
    <w:p w14:paraId="7CA07ADA" w14:textId="77777777" w:rsidR="000E04F1" w:rsidRDefault="000E04F1">
      <w:pPr>
        <w:keepNext/>
        <w:keepLines/>
        <w:spacing w:line="264" w:lineRule="auto"/>
        <w:rPr>
          <w:rFonts w:ascii="Atkinson Hyperlegible" w:eastAsia="Atkinson Hyperlegible" w:hAnsi="Atkinson Hyperlegible" w:cs="Atkinson Hyperlegible"/>
          <w:b/>
          <w:color w:val="464646"/>
          <w:sz w:val="24"/>
          <w:szCs w:val="24"/>
        </w:rPr>
      </w:pPr>
    </w:p>
    <w:p w14:paraId="3395FB73" w14:textId="77777777" w:rsidR="000E04F1" w:rsidRDefault="00000000">
      <w:pPr>
        <w:pStyle w:val="Ttulo3"/>
        <w:spacing w:before="0" w:after="526" w:line="265" w:lineRule="auto"/>
        <w:rPr>
          <w:rFonts w:ascii="Atkinson Hyperlegible" w:eastAsia="Atkinson Hyperlegible" w:hAnsi="Atkinson Hyperlegible" w:cs="Atkinson Hyperlegible"/>
          <w:b/>
          <w:color w:val="595959"/>
          <w:sz w:val="24"/>
          <w:szCs w:val="24"/>
        </w:rPr>
      </w:pPr>
      <w:bookmarkStart w:id="14" w:name="_h7toid6clm0c" w:colFirst="0" w:colLast="0"/>
      <w:bookmarkEnd w:id="14"/>
      <w:r>
        <w:rPr>
          <w:rFonts w:ascii="Atkinson Hyperlegible" w:eastAsia="Atkinson Hyperlegible" w:hAnsi="Atkinson Hyperlegible" w:cs="Atkinson Hyperlegible"/>
          <w:b/>
          <w:color w:val="595959"/>
          <w:sz w:val="24"/>
          <w:szCs w:val="24"/>
        </w:rPr>
        <w:t>Passo a passo</w:t>
      </w:r>
    </w:p>
    <w:tbl>
      <w:tblPr>
        <w:tblStyle w:val="a"/>
        <w:tblW w:w="9090" w:type="dxa"/>
        <w:tblInd w:w="-67" w:type="dxa"/>
        <w:tblLayout w:type="fixed"/>
        <w:tblLook w:val="0400" w:firstRow="0" w:lastRow="0" w:firstColumn="0" w:lastColumn="0" w:noHBand="0" w:noVBand="1"/>
      </w:tblPr>
      <w:tblGrid>
        <w:gridCol w:w="7725"/>
        <w:gridCol w:w="1365"/>
      </w:tblGrid>
      <w:tr w:rsidR="000E04F1" w14:paraId="41AB2336" w14:textId="77777777" w:rsidTr="003A5545">
        <w:trPr>
          <w:trHeight w:val="515"/>
          <w:tblHeader/>
        </w:trPr>
        <w:tc>
          <w:tcPr>
            <w:tcW w:w="772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 w:themeFill="text1"/>
            <w:vAlign w:val="center"/>
          </w:tcPr>
          <w:p w14:paraId="1BDC472B" w14:textId="77777777" w:rsidR="000E04F1" w:rsidRPr="003A5545" w:rsidRDefault="00000000">
            <w:pPr>
              <w:jc w:val="both"/>
              <w:rPr>
                <w:rFonts w:ascii="Atkinson Hyperlegible" w:eastAsia="Atkinson Hyperlegible" w:hAnsi="Atkinson Hyperlegible" w:cs="Atkinson Hyperlegible"/>
                <w:color w:val="FFFFFF" w:themeColor="background1"/>
                <w:sz w:val="24"/>
                <w:szCs w:val="24"/>
              </w:rPr>
            </w:pPr>
            <w:proofErr w:type="spellStart"/>
            <w:r w:rsidRPr="003A5545">
              <w:rPr>
                <w:rFonts w:ascii="Atkinson Hyperlegible" w:eastAsia="Atkinson Hyperlegible" w:hAnsi="Atkinson Hyperlegible" w:cs="Atkinson Hyperlegible"/>
                <w:color w:val="FFFFFF" w:themeColor="background1"/>
                <w:sz w:val="24"/>
                <w:szCs w:val="24"/>
              </w:rPr>
              <w:t>Spear</w:t>
            </w:r>
            <w:proofErr w:type="spellEnd"/>
            <w:r w:rsidRPr="003A5545">
              <w:rPr>
                <w:rFonts w:ascii="Atkinson Hyperlegible" w:eastAsia="Atkinson Hyperlegible" w:hAnsi="Atkinson Hyperlegible" w:cs="Atkinson Hyperlegible"/>
                <w:color w:val="FFFFFF" w:themeColor="background1"/>
                <w:sz w:val="24"/>
                <w:szCs w:val="24"/>
              </w:rPr>
              <w:t xml:space="preserve"> Phishing</w:t>
            </w:r>
          </w:p>
        </w:tc>
        <w:tc>
          <w:tcPr>
            <w:tcW w:w="1365" w:type="dxa"/>
            <w:tcBorders>
              <w:top w:val="nil"/>
              <w:left w:val="single" w:sz="8" w:space="0" w:color="FFFFFF"/>
              <w:bottom w:val="single" w:sz="8" w:space="0" w:color="9900FF"/>
              <w:right w:val="nil"/>
            </w:tcBorders>
            <w:shd w:val="clear" w:color="auto" w:fill="000000" w:themeFill="text1"/>
            <w:vAlign w:val="center"/>
          </w:tcPr>
          <w:p w14:paraId="6CA2EEAC" w14:textId="77777777" w:rsidR="000E04F1" w:rsidRPr="003A5545" w:rsidRDefault="00000000">
            <w:pPr>
              <w:spacing w:line="259" w:lineRule="auto"/>
              <w:ind w:left="-708" w:right="-419"/>
              <w:jc w:val="center"/>
              <w:rPr>
                <w:rFonts w:ascii="Atkinson Hyperlegible" w:eastAsia="Atkinson Hyperlegible" w:hAnsi="Atkinson Hyperlegible" w:cs="Atkinson Hyperlegible"/>
                <w:color w:val="FFFFFF" w:themeColor="background1"/>
                <w:sz w:val="24"/>
                <w:szCs w:val="24"/>
              </w:rPr>
            </w:pPr>
            <w:r w:rsidRPr="003A5545">
              <w:rPr>
                <w:rFonts w:ascii="Atkinson Hyperlegible" w:eastAsia="Atkinson Hyperlegible" w:hAnsi="Atkinson Hyperlegible" w:cs="Atkinson Hyperlegible"/>
                <w:b/>
                <w:color w:val="FFFFFF" w:themeColor="background1"/>
                <w:sz w:val="24"/>
                <w:szCs w:val="24"/>
              </w:rPr>
              <w:t>01</w:t>
            </w:r>
          </w:p>
        </w:tc>
      </w:tr>
    </w:tbl>
    <w:p w14:paraId="5D72A9A7" w14:textId="77777777" w:rsidR="000E04F1" w:rsidRDefault="00000000">
      <w:pPr>
        <w:tabs>
          <w:tab w:val="center" w:pos="994"/>
          <w:tab w:val="center" w:pos="2516"/>
        </w:tabs>
        <w:spacing w:after="350" w:line="248" w:lineRule="auto"/>
        <w:rPr>
          <w:rFonts w:ascii="Atkinson Hyperlegible" w:eastAsia="Atkinson Hyperlegible" w:hAnsi="Atkinson Hyperlegible" w:cs="Atkinson Hyperlegible"/>
          <w:b/>
          <w:color w:val="595959"/>
          <w:sz w:val="24"/>
          <w:szCs w:val="24"/>
        </w:rPr>
      </w:pPr>
      <w:r>
        <w:rPr>
          <w:rFonts w:ascii="Atkinson Hyperlegible" w:eastAsia="Atkinson Hyperlegible" w:hAnsi="Atkinson Hyperlegible" w:cs="Atkinson Hyperlegible"/>
          <w:b/>
          <w:color w:val="595959"/>
          <w:sz w:val="24"/>
          <w:szCs w:val="24"/>
        </w:rPr>
        <w:t>Descrição:</w:t>
      </w:r>
    </w:p>
    <w:p w14:paraId="12E3601C" w14:textId="77777777" w:rsidR="000E04F1" w:rsidRDefault="000E04F1">
      <w:pPr>
        <w:tabs>
          <w:tab w:val="center" w:pos="994"/>
          <w:tab w:val="center" w:pos="2516"/>
        </w:tabs>
        <w:spacing w:after="350" w:line="248" w:lineRule="auto"/>
        <w:rPr>
          <w:rFonts w:ascii="Atkinson Hyperlegible" w:eastAsia="Atkinson Hyperlegible" w:hAnsi="Atkinson Hyperlegible" w:cs="Atkinson Hyperlegible"/>
          <w:b/>
          <w:color w:val="595959"/>
          <w:sz w:val="24"/>
          <w:szCs w:val="24"/>
        </w:rPr>
      </w:pPr>
    </w:p>
    <w:p w14:paraId="37EACFFD" w14:textId="77777777" w:rsidR="000E04F1" w:rsidRDefault="00000000">
      <w:pPr>
        <w:tabs>
          <w:tab w:val="center" w:pos="994"/>
          <w:tab w:val="center" w:pos="2516"/>
        </w:tabs>
        <w:spacing w:after="350" w:line="248" w:lineRule="auto"/>
        <w:rPr>
          <w:rFonts w:ascii="Atkinson Hyperlegible" w:eastAsia="Atkinson Hyperlegible" w:hAnsi="Atkinson Hyperlegible" w:cs="Atkinson Hyperlegible"/>
          <w:color w:val="595959"/>
          <w:sz w:val="24"/>
          <w:szCs w:val="24"/>
        </w:rPr>
      </w:pPr>
      <w:r>
        <w:rPr>
          <w:rFonts w:ascii="Atkinson Hyperlegible" w:eastAsia="Atkinson Hyperlegible" w:hAnsi="Atkinson Hyperlegible" w:cs="Atkinson Hyperlegible"/>
          <w:b/>
          <w:color w:val="595959"/>
          <w:sz w:val="24"/>
          <w:szCs w:val="24"/>
        </w:rPr>
        <w:t>Prova de Conceito:</w:t>
      </w:r>
    </w:p>
    <w:p w14:paraId="4639F121" w14:textId="77777777" w:rsidR="000E04F1" w:rsidRDefault="000E04F1">
      <w:pPr>
        <w:tabs>
          <w:tab w:val="center" w:pos="994"/>
          <w:tab w:val="center" w:pos="2516"/>
        </w:tabs>
        <w:spacing w:after="350" w:line="248" w:lineRule="auto"/>
        <w:rPr>
          <w:rFonts w:ascii="Atkinson Hyperlegible" w:eastAsia="Atkinson Hyperlegible" w:hAnsi="Atkinson Hyperlegible" w:cs="Atkinson Hyperlegible"/>
          <w:color w:val="595959"/>
          <w:sz w:val="24"/>
          <w:szCs w:val="24"/>
        </w:rPr>
      </w:pPr>
    </w:p>
    <w:p w14:paraId="37E45F1F" w14:textId="77777777" w:rsidR="000E04F1" w:rsidRDefault="000E04F1">
      <w:pPr>
        <w:tabs>
          <w:tab w:val="center" w:pos="994"/>
          <w:tab w:val="center" w:pos="2516"/>
        </w:tabs>
        <w:spacing w:after="350" w:line="248" w:lineRule="auto"/>
        <w:rPr>
          <w:rFonts w:ascii="Atkinson Hyperlegible" w:eastAsia="Atkinson Hyperlegible" w:hAnsi="Atkinson Hyperlegible" w:cs="Atkinson Hyperlegible"/>
          <w:color w:val="595959"/>
          <w:sz w:val="24"/>
          <w:szCs w:val="24"/>
        </w:rPr>
      </w:pPr>
    </w:p>
    <w:p w14:paraId="4F2203D3" w14:textId="77777777" w:rsidR="000E04F1" w:rsidRDefault="000E04F1">
      <w:pPr>
        <w:tabs>
          <w:tab w:val="center" w:pos="994"/>
          <w:tab w:val="center" w:pos="2516"/>
        </w:tabs>
        <w:spacing w:after="350" w:line="248" w:lineRule="auto"/>
        <w:rPr>
          <w:rFonts w:ascii="Atkinson Hyperlegible" w:eastAsia="Atkinson Hyperlegible" w:hAnsi="Atkinson Hyperlegible" w:cs="Atkinson Hyperlegible"/>
          <w:b/>
          <w:color w:val="595959"/>
          <w:sz w:val="24"/>
          <w:szCs w:val="24"/>
        </w:rPr>
      </w:pPr>
    </w:p>
    <w:p w14:paraId="66F98E24" w14:textId="77777777" w:rsidR="000E04F1" w:rsidRDefault="00000000">
      <w:pPr>
        <w:tabs>
          <w:tab w:val="center" w:pos="994"/>
          <w:tab w:val="center" w:pos="2516"/>
        </w:tabs>
        <w:spacing w:after="350" w:line="248" w:lineRule="auto"/>
        <w:rPr>
          <w:rFonts w:ascii="Atkinson Hyperlegible" w:eastAsia="Atkinson Hyperlegible" w:hAnsi="Atkinson Hyperlegible" w:cs="Atkinson Hyperlegible"/>
          <w:color w:val="595959"/>
          <w:sz w:val="24"/>
          <w:szCs w:val="24"/>
        </w:rPr>
      </w:pPr>
      <w:r>
        <w:rPr>
          <w:rFonts w:ascii="Atkinson Hyperlegible" w:eastAsia="Atkinson Hyperlegible" w:hAnsi="Atkinson Hyperlegible" w:cs="Atkinson Hyperlegible"/>
          <w:b/>
          <w:color w:val="595959"/>
          <w:sz w:val="24"/>
          <w:szCs w:val="24"/>
        </w:rPr>
        <w:t>Lições aprendidas:</w:t>
      </w:r>
    </w:p>
    <w:p w14:paraId="0ECEE8C7" w14:textId="77777777" w:rsidR="000E04F1" w:rsidRDefault="00000000">
      <w:pPr>
        <w:numPr>
          <w:ilvl w:val="0"/>
          <w:numId w:val="2"/>
        </w:numPr>
        <w:jc w:val="both"/>
      </w:pPr>
      <w:r>
        <w:t xml:space="preserve">Email SMTP da </w:t>
      </w:r>
      <w:proofErr w:type="spellStart"/>
      <w:r>
        <w:t>Godaddy</w:t>
      </w:r>
      <w:proofErr w:type="spellEnd"/>
      <w:r>
        <w:t xml:space="preserve"> entrou em </w:t>
      </w:r>
      <w:proofErr w:type="spellStart"/>
      <w:r>
        <w:t>blacklist</w:t>
      </w:r>
      <w:proofErr w:type="spellEnd"/>
      <w:r>
        <w:t xml:space="preserve"> e adquirimos um na </w:t>
      </w:r>
      <w:proofErr w:type="spellStart"/>
      <w:r>
        <w:t>hostgator</w:t>
      </w:r>
      <w:proofErr w:type="spellEnd"/>
      <w:r>
        <w:t xml:space="preserve"> também</w:t>
      </w:r>
    </w:p>
    <w:p w14:paraId="32C4CAC6" w14:textId="77777777" w:rsidR="000E04F1" w:rsidRDefault="00000000">
      <w:pPr>
        <w:numPr>
          <w:ilvl w:val="0"/>
          <w:numId w:val="2"/>
        </w:numPr>
        <w:jc w:val="both"/>
      </w:pPr>
      <w:r>
        <w:t xml:space="preserve">Trocamos o Evilginx </w:t>
      </w:r>
      <w:proofErr w:type="gramStart"/>
      <w:r>
        <w:t>pro</w:t>
      </w:r>
      <w:proofErr w:type="gramEnd"/>
      <w:r>
        <w:t xml:space="preserve"> </w:t>
      </w:r>
      <w:proofErr w:type="spellStart"/>
      <w:r>
        <w:t>Modlishka</w:t>
      </w:r>
      <w:proofErr w:type="spellEnd"/>
      <w:r>
        <w:t xml:space="preserve">, pois precisaria criar um </w:t>
      </w:r>
      <w:proofErr w:type="spellStart"/>
      <w:r>
        <w:t>phishlet</w:t>
      </w:r>
      <w:proofErr w:type="spellEnd"/>
      <w:r>
        <w:t xml:space="preserve"> e não tínhamos tempo hábil para isso</w:t>
      </w:r>
    </w:p>
    <w:p w14:paraId="42A3D569" w14:textId="77777777" w:rsidR="000E04F1" w:rsidRDefault="00000000">
      <w:pPr>
        <w:numPr>
          <w:ilvl w:val="0"/>
          <w:numId w:val="2"/>
        </w:numPr>
        <w:jc w:val="both"/>
      </w:pPr>
      <w:r>
        <w:t>Foi necessário comprar um outro domínio em outra empresa de hospedagem para continuar as campanhas</w:t>
      </w:r>
    </w:p>
    <w:p w14:paraId="30562A4F" w14:textId="3E5CAF75" w:rsidR="000E04F1" w:rsidRPr="003A5545" w:rsidRDefault="00000000" w:rsidP="003A5545">
      <w:pPr>
        <w:numPr>
          <w:ilvl w:val="0"/>
          <w:numId w:val="2"/>
        </w:numPr>
        <w:jc w:val="both"/>
      </w:pPr>
      <w:r>
        <w:t xml:space="preserve">Para evitar a </w:t>
      </w:r>
      <w:proofErr w:type="spellStart"/>
      <w:r>
        <w:t>blacklist</w:t>
      </w:r>
      <w:proofErr w:type="spellEnd"/>
      <w:r>
        <w:t xml:space="preserve"> a recomendação não é </w:t>
      </w:r>
      <w:proofErr w:type="spellStart"/>
      <w:r>
        <w:t>spammar</w:t>
      </w:r>
      <w:proofErr w:type="spellEnd"/>
      <w:r>
        <w:t xml:space="preserve"> emails para testar </w:t>
      </w:r>
      <w:bookmarkStart w:id="15" w:name="_2u62ug9huvl" w:colFirst="0" w:colLast="0"/>
      <w:bookmarkEnd w:id="15"/>
    </w:p>
    <w:p w14:paraId="74A1D4B7" w14:textId="77777777" w:rsidR="000E04F1" w:rsidRDefault="00000000">
      <w:pPr>
        <w:pStyle w:val="Ttulo3"/>
        <w:tabs>
          <w:tab w:val="center" w:pos="994"/>
          <w:tab w:val="center" w:pos="2516"/>
        </w:tabs>
        <w:spacing w:before="0" w:after="350" w:line="248" w:lineRule="auto"/>
        <w:rPr>
          <w:rFonts w:ascii="Atkinson Hyperlegible" w:eastAsia="Atkinson Hyperlegible" w:hAnsi="Atkinson Hyperlegible" w:cs="Atkinson Hyperlegible"/>
          <w:b/>
          <w:color w:val="595959"/>
          <w:sz w:val="24"/>
          <w:szCs w:val="24"/>
        </w:rPr>
      </w:pPr>
      <w:bookmarkStart w:id="16" w:name="_h1zr9dc6av5z" w:colFirst="0" w:colLast="0"/>
      <w:bookmarkEnd w:id="16"/>
      <w:r>
        <w:rPr>
          <w:rFonts w:ascii="Atkinson Hyperlegible" w:eastAsia="Atkinson Hyperlegible" w:hAnsi="Atkinson Hyperlegible" w:cs="Atkinson Hyperlegible"/>
          <w:b/>
          <w:color w:val="595959"/>
          <w:sz w:val="24"/>
          <w:szCs w:val="24"/>
        </w:rPr>
        <w:lastRenderedPageBreak/>
        <w:t>Conclusão</w:t>
      </w:r>
    </w:p>
    <w:p w14:paraId="7F6A5D46" w14:textId="77777777" w:rsidR="000E04F1" w:rsidRDefault="00000000">
      <w:pPr>
        <w:tabs>
          <w:tab w:val="center" w:pos="994"/>
          <w:tab w:val="center" w:pos="2516"/>
        </w:tabs>
        <w:spacing w:after="350" w:line="248" w:lineRule="auto"/>
        <w:jc w:val="both"/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 xml:space="preserve">A XXX realizou um envolvimento da </w:t>
      </w:r>
      <w:proofErr w:type="spellStart"/>
      <w:r>
        <w:rPr>
          <w:color w:val="595959"/>
          <w:sz w:val="24"/>
          <w:szCs w:val="24"/>
        </w:rPr>
        <w:t>Red</w:t>
      </w:r>
      <w:proofErr w:type="spellEnd"/>
      <w:r>
        <w:rPr>
          <w:color w:val="595959"/>
          <w:sz w:val="24"/>
          <w:szCs w:val="24"/>
        </w:rPr>
        <w:t xml:space="preserve"> Team para determinar o impacto total de uma ameaça de </w:t>
      </w:r>
      <w:proofErr w:type="spellStart"/>
      <w:r>
        <w:rPr>
          <w:color w:val="595959"/>
          <w:sz w:val="24"/>
          <w:szCs w:val="24"/>
        </w:rPr>
        <w:t>spear</w:t>
      </w:r>
      <w:proofErr w:type="spellEnd"/>
      <w:r>
        <w:rPr>
          <w:color w:val="595959"/>
          <w:sz w:val="24"/>
          <w:szCs w:val="24"/>
        </w:rPr>
        <w:t xml:space="preserve">-phishing realista. Não foi possível </w:t>
      </w:r>
      <w:proofErr w:type="spellStart"/>
      <w:r>
        <w:rPr>
          <w:color w:val="595959"/>
          <w:sz w:val="24"/>
          <w:szCs w:val="24"/>
        </w:rPr>
        <w:t>exfiltrar</w:t>
      </w:r>
      <w:proofErr w:type="spellEnd"/>
      <w:r>
        <w:rPr>
          <w:color w:val="595959"/>
          <w:sz w:val="24"/>
          <w:szCs w:val="24"/>
        </w:rPr>
        <w:t xml:space="preserve"> muitos dados….</w:t>
      </w:r>
    </w:p>
    <w:p w14:paraId="2E893CBE" w14:textId="77777777" w:rsidR="000E04F1" w:rsidRDefault="000E04F1">
      <w:pPr>
        <w:tabs>
          <w:tab w:val="center" w:pos="840"/>
          <w:tab w:val="center" w:pos="2516"/>
        </w:tabs>
        <w:spacing w:after="350" w:line="248" w:lineRule="auto"/>
        <w:rPr>
          <w:rFonts w:ascii="Calibri" w:eastAsia="Calibri" w:hAnsi="Calibri" w:cs="Calibri"/>
          <w:color w:val="595959"/>
          <w:sz w:val="20"/>
          <w:szCs w:val="20"/>
        </w:rPr>
      </w:pPr>
    </w:p>
    <w:p w14:paraId="61EC17AB" w14:textId="77777777" w:rsidR="000E04F1" w:rsidRDefault="000E04F1">
      <w:pPr>
        <w:tabs>
          <w:tab w:val="center" w:pos="840"/>
          <w:tab w:val="center" w:pos="2516"/>
        </w:tabs>
        <w:spacing w:after="350" w:line="248" w:lineRule="auto"/>
        <w:rPr>
          <w:rFonts w:ascii="Calibri" w:eastAsia="Calibri" w:hAnsi="Calibri" w:cs="Calibri"/>
          <w:color w:val="595959"/>
          <w:sz w:val="20"/>
          <w:szCs w:val="20"/>
        </w:rPr>
      </w:pPr>
    </w:p>
    <w:p w14:paraId="3954E25F" w14:textId="77777777" w:rsidR="000E04F1" w:rsidRDefault="00000000">
      <w:pPr>
        <w:pStyle w:val="Ttulo1"/>
        <w:tabs>
          <w:tab w:val="center" w:pos="840"/>
          <w:tab w:val="center" w:pos="2516"/>
        </w:tabs>
        <w:spacing w:before="0" w:after="350" w:line="248" w:lineRule="auto"/>
        <w:ind w:right="7"/>
        <w:rPr>
          <w:rFonts w:ascii="Atkinson Hyperlegible" w:eastAsia="Atkinson Hyperlegible" w:hAnsi="Atkinson Hyperlegible" w:cs="Atkinson Hyperlegible"/>
          <w:b/>
          <w:color w:val="333333"/>
          <w:sz w:val="32"/>
          <w:szCs w:val="32"/>
        </w:rPr>
      </w:pPr>
      <w:bookmarkStart w:id="17" w:name="_s6dbnhr6w4v0" w:colFirst="0" w:colLast="0"/>
      <w:bookmarkEnd w:id="17"/>
      <w:r>
        <w:rPr>
          <w:rFonts w:ascii="Atkinson Hyperlegible" w:eastAsia="Atkinson Hyperlegible" w:hAnsi="Atkinson Hyperlegible" w:cs="Atkinson Hyperlegible"/>
          <w:b/>
          <w:color w:val="333333"/>
          <w:sz w:val="32"/>
          <w:szCs w:val="32"/>
        </w:rPr>
        <w:t>Controles de versão</w:t>
      </w: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E04F1" w14:paraId="1853A8B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D3BE5" w14:textId="77777777" w:rsidR="000E04F1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Report feito por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6A73" w14:textId="77777777" w:rsidR="000E04F1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Report revisado por</w:t>
            </w:r>
          </w:p>
        </w:tc>
      </w:tr>
      <w:tr w:rsidR="000E04F1" w14:paraId="6D740FE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BBC95" w14:textId="77777777" w:rsidR="000E04F1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Joas A Santos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E8D01" w14:textId="77777777" w:rsidR="000E04F1" w:rsidRDefault="000E04F1">
            <w:pPr>
              <w:widowControl w:val="0"/>
              <w:spacing w:line="240" w:lineRule="auto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</w:tbl>
    <w:p w14:paraId="189378D3" w14:textId="77777777" w:rsidR="000E04F1" w:rsidRDefault="000E04F1">
      <w:pPr>
        <w:tabs>
          <w:tab w:val="center" w:pos="840"/>
          <w:tab w:val="center" w:pos="2516"/>
        </w:tabs>
        <w:spacing w:after="350" w:line="248" w:lineRule="auto"/>
        <w:rPr>
          <w:rFonts w:ascii="Calibri" w:eastAsia="Calibri" w:hAnsi="Calibri" w:cs="Calibri"/>
          <w:color w:val="595959"/>
          <w:sz w:val="20"/>
          <w:szCs w:val="20"/>
        </w:rPr>
      </w:pPr>
    </w:p>
    <w:p w14:paraId="6C8EF105" w14:textId="77777777" w:rsidR="000E04F1" w:rsidRDefault="000E04F1">
      <w:pPr>
        <w:tabs>
          <w:tab w:val="center" w:pos="840"/>
          <w:tab w:val="center" w:pos="2516"/>
        </w:tabs>
        <w:spacing w:after="350" w:line="248" w:lineRule="auto"/>
        <w:rPr>
          <w:rFonts w:ascii="Calibri" w:eastAsia="Calibri" w:hAnsi="Calibri" w:cs="Calibri"/>
          <w:color w:val="595959"/>
          <w:sz w:val="20"/>
          <w:szCs w:val="20"/>
        </w:rPr>
      </w:pPr>
    </w:p>
    <w:p w14:paraId="42C139C3" w14:textId="77777777" w:rsidR="000E04F1" w:rsidRDefault="000E04F1"/>
    <w:sectPr w:rsidR="000E04F1">
      <w:pgSz w:w="11909" w:h="16834"/>
      <w:pgMar w:top="1440" w:right="1440" w:bottom="1440" w:left="1440" w:header="1133" w:footer="11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CBC29" w14:textId="77777777" w:rsidR="00595C52" w:rsidRDefault="00595C52">
      <w:pPr>
        <w:spacing w:line="240" w:lineRule="auto"/>
      </w:pPr>
      <w:r>
        <w:separator/>
      </w:r>
    </w:p>
  </w:endnote>
  <w:endnote w:type="continuationSeparator" w:id="0">
    <w:p w14:paraId="15FD457A" w14:textId="77777777" w:rsidR="00595C52" w:rsidRDefault="00595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kinson Hyperlegibl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3D3B4" w14:textId="77777777" w:rsidR="000E04F1" w:rsidRDefault="00000000">
    <w:r>
      <w:t xml:space="preserve">Report </w:t>
    </w:r>
    <w:proofErr w:type="spellStart"/>
    <w:r>
      <w:t>Created</w:t>
    </w:r>
    <w:proofErr w:type="spellEnd"/>
    <w:r>
      <w:t xml:space="preserve"> by Joas A Santos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4E881" w14:textId="77777777" w:rsidR="00595C52" w:rsidRDefault="00595C52">
      <w:pPr>
        <w:spacing w:line="240" w:lineRule="auto"/>
      </w:pPr>
      <w:r>
        <w:separator/>
      </w:r>
    </w:p>
  </w:footnote>
  <w:footnote w:type="continuationSeparator" w:id="0">
    <w:p w14:paraId="15FCF1CA" w14:textId="77777777" w:rsidR="00595C52" w:rsidRDefault="00595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51808"/>
    <w:multiLevelType w:val="multilevel"/>
    <w:tmpl w:val="4DBA55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9E3F14"/>
    <w:multiLevelType w:val="multilevel"/>
    <w:tmpl w:val="6A1E6D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EF35DA0"/>
    <w:multiLevelType w:val="multilevel"/>
    <w:tmpl w:val="0B46E6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5482AC1"/>
    <w:multiLevelType w:val="multilevel"/>
    <w:tmpl w:val="F7C601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91081337">
    <w:abstractNumId w:val="2"/>
  </w:num>
  <w:num w:numId="2" w16cid:durableId="292829918">
    <w:abstractNumId w:val="3"/>
  </w:num>
  <w:num w:numId="3" w16cid:durableId="534192566">
    <w:abstractNumId w:val="1"/>
  </w:num>
  <w:num w:numId="4" w16cid:durableId="1743716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4F1"/>
    <w:rsid w:val="000E04F1"/>
    <w:rsid w:val="003A5545"/>
    <w:rsid w:val="00595C52"/>
    <w:rsid w:val="00A9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92185"/>
  <w15:docId w15:val="{864DFE20-4D5A-4C73-A0D0-0E1C3A3F1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98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678</Words>
  <Characters>3667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Joas Antonio dos Santos Barbosa</cp:lastModifiedBy>
  <cp:revision>3</cp:revision>
  <dcterms:created xsi:type="dcterms:W3CDTF">2024-04-12T13:55:00Z</dcterms:created>
  <dcterms:modified xsi:type="dcterms:W3CDTF">2024-04-12T14:00:00Z</dcterms:modified>
</cp:coreProperties>
</file>