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892CD" w14:textId="65CCEC4D" w:rsidR="00963FFC" w:rsidRDefault="00963FFC" w:rsidP="00963FFC">
      <w:pPr>
        <w:jc w:val="center"/>
        <w:rPr>
          <w:b/>
          <w:sz w:val="52"/>
        </w:rPr>
      </w:pPr>
      <w:bookmarkStart w:id="0" w:name="_GoBack"/>
      <w:bookmarkEnd w:id="0"/>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3EEC861A"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itecture LINK Cartridge Developer 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01761BB6" w14:textId="7BC567AB" w:rsidR="00963FFC" w:rsidRPr="0064163A" w:rsidRDefault="0064163A" w:rsidP="00B22CA5">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31A1E030" w:rsidR="00963FFC" w:rsidRPr="00CE559C" w:rsidRDefault="00B22CA5" w:rsidP="00963FFC">
      <w:pPr>
        <w:jc w:val="center"/>
        <w:rPr>
          <w:color w:val="262626" w:themeColor="text1" w:themeTint="D9"/>
        </w:rPr>
      </w:pPr>
      <w:r>
        <w:rPr>
          <w:noProof/>
          <w:sz w:val="32"/>
          <w:szCs w:val="32"/>
        </w:rPr>
        <w:drawing>
          <wp:inline distT="0" distB="0" distL="0" distR="0" wp14:anchorId="2A226A3B" wp14:editId="5D733C8E">
            <wp:extent cx="6220326" cy="18977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46061" cy="1905627"/>
                    </a:xfrm>
                    <a:prstGeom prst="rect">
                      <a:avLst/>
                    </a:prstGeom>
                  </pic:spPr>
                </pic:pic>
              </a:graphicData>
            </a:graphic>
          </wp:inline>
        </w:drawing>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17E6303F" w14:textId="77777777" w:rsidR="000C6AC3" w:rsidRDefault="000C6AC3" w:rsidP="00EB5C53">
      <w:pPr>
        <w:rPr>
          <w:sz w:val="32"/>
          <w:szCs w:val="32"/>
        </w:rPr>
      </w:pPr>
    </w:p>
    <w:p w14:paraId="1A0AE675" w14:textId="1BB63629" w:rsidR="000C6AC3" w:rsidRDefault="000C6AC3" w:rsidP="00963FFC">
      <w:pPr>
        <w:jc w:val="cente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p>
        <w:p w14:paraId="4F7C6A2F" w14:textId="77777777" w:rsidR="00EB5C53" w:rsidRPr="00EB5C53" w:rsidRDefault="00EB5C53" w:rsidP="00EB5C53"/>
        <w:p w14:paraId="0EF8C5A4" w14:textId="1105AFAB" w:rsidR="00EB5C53" w:rsidRDefault="00EB5C53">
          <w:pPr>
            <w:pStyle w:val="TOC1"/>
            <w:tabs>
              <w:tab w:val="left" w:pos="440"/>
              <w:tab w:val="right" w:leader="dot" w:pos="10790"/>
            </w:tabs>
            <w:rPr>
              <w:rFonts w:asciiTheme="minorHAnsi" w:eastAsiaTheme="minorEastAsia" w:hAnsiTheme="minorHAnsi" w:cstheme="minorBidi"/>
              <w:noProof/>
              <w:sz w:val="22"/>
              <w:szCs w:val="22"/>
              <w:lang w:eastAsia="zh-TW"/>
            </w:rPr>
          </w:pPr>
          <w:r>
            <w:rPr>
              <w:b/>
              <w:bCs/>
              <w:noProof/>
            </w:rPr>
            <w:fldChar w:fldCharType="begin"/>
          </w:r>
          <w:r>
            <w:rPr>
              <w:b/>
              <w:bCs/>
              <w:noProof/>
            </w:rPr>
            <w:instrText xml:space="preserve"> TOC \o "1-3" \h \z \u </w:instrText>
          </w:r>
          <w:r>
            <w:rPr>
              <w:b/>
              <w:bCs/>
              <w:noProof/>
            </w:rPr>
            <w:fldChar w:fldCharType="separate"/>
          </w:r>
          <w:hyperlink w:anchor="_Toc528256765" w:history="1">
            <w:r w:rsidRPr="008F4CCA">
              <w:rPr>
                <w:rStyle w:val="Hyperlink"/>
                <w:noProof/>
              </w:rPr>
              <w:t>1.</w:t>
            </w:r>
            <w:r>
              <w:rPr>
                <w:rFonts w:asciiTheme="minorHAnsi" w:eastAsiaTheme="minorEastAsia" w:hAnsiTheme="minorHAnsi" w:cstheme="minorBidi"/>
                <w:noProof/>
                <w:sz w:val="22"/>
                <w:szCs w:val="22"/>
                <w:lang w:eastAsia="zh-TW"/>
              </w:rPr>
              <w:tab/>
            </w:r>
            <w:r w:rsidRPr="008F4CCA">
              <w:rPr>
                <w:rStyle w:val="Hyperlink"/>
                <w:noProof/>
              </w:rPr>
              <w:t>Introduction to StoreFront Reference Architecture</w:t>
            </w:r>
            <w:r>
              <w:rPr>
                <w:noProof/>
                <w:webHidden/>
              </w:rPr>
              <w:tab/>
            </w:r>
            <w:r>
              <w:rPr>
                <w:noProof/>
                <w:webHidden/>
              </w:rPr>
              <w:fldChar w:fldCharType="begin"/>
            </w:r>
            <w:r>
              <w:rPr>
                <w:noProof/>
                <w:webHidden/>
              </w:rPr>
              <w:instrText xml:space="preserve"> PAGEREF _Toc528256765 \h </w:instrText>
            </w:r>
            <w:r>
              <w:rPr>
                <w:noProof/>
                <w:webHidden/>
              </w:rPr>
            </w:r>
            <w:r>
              <w:rPr>
                <w:noProof/>
                <w:webHidden/>
              </w:rPr>
              <w:fldChar w:fldCharType="separate"/>
            </w:r>
            <w:r>
              <w:rPr>
                <w:noProof/>
                <w:webHidden/>
              </w:rPr>
              <w:t>2</w:t>
            </w:r>
            <w:r>
              <w:rPr>
                <w:noProof/>
                <w:webHidden/>
              </w:rPr>
              <w:fldChar w:fldCharType="end"/>
            </w:r>
          </w:hyperlink>
        </w:p>
        <w:p w14:paraId="78C2E3BD" w14:textId="09170D68"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66" w:history="1">
            <w:r w:rsidR="00EB5C53" w:rsidRPr="008F4CCA">
              <w:rPr>
                <w:rStyle w:val="Hyperlink"/>
                <w:noProof/>
              </w:rPr>
              <w:t>2.</w:t>
            </w:r>
            <w:r w:rsidR="00EB5C53">
              <w:rPr>
                <w:rFonts w:asciiTheme="minorHAnsi" w:eastAsiaTheme="minorEastAsia" w:hAnsiTheme="minorHAnsi" w:cstheme="minorBidi"/>
                <w:noProof/>
                <w:sz w:val="22"/>
                <w:szCs w:val="22"/>
                <w:lang w:eastAsia="zh-TW"/>
              </w:rPr>
              <w:tab/>
            </w:r>
            <w:r w:rsidR="00EB5C53" w:rsidRPr="008F4CCA">
              <w:rPr>
                <w:rStyle w:val="Hyperlink"/>
                <w:noProof/>
              </w:rPr>
              <w:t>CyberSource Cartridge Overview</w:t>
            </w:r>
            <w:r w:rsidR="00EB5C53">
              <w:rPr>
                <w:noProof/>
                <w:webHidden/>
              </w:rPr>
              <w:tab/>
            </w:r>
            <w:r w:rsidR="00EB5C53">
              <w:rPr>
                <w:noProof/>
                <w:webHidden/>
              </w:rPr>
              <w:fldChar w:fldCharType="begin"/>
            </w:r>
            <w:r w:rsidR="00EB5C53">
              <w:rPr>
                <w:noProof/>
                <w:webHidden/>
              </w:rPr>
              <w:instrText xml:space="preserve"> PAGEREF _Toc528256766 \h </w:instrText>
            </w:r>
            <w:r w:rsidR="00EB5C53">
              <w:rPr>
                <w:noProof/>
                <w:webHidden/>
              </w:rPr>
            </w:r>
            <w:r w:rsidR="00EB5C53">
              <w:rPr>
                <w:noProof/>
                <w:webHidden/>
              </w:rPr>
              <w:fldChar w:fldCharType="separate"/>
            </w:r>
            <w:r w:rsidR="00EB5C53">
              <w:rPr>
                <w:noProof/>
                <w:webHidden/>
              </w:rPr>
              <w:t>2</w:t>
            </w:r>
            <w:r w:rsidR="00EB5C53">
              <w:rPr>
                <w:noProof/>
                <w:webHidden/>
              </w:rPr>
              <w:fldChar w:fldCharType="end"/>
            </w:r>
          </w:hyperlink>
        </w:p>
        <w:p w14:paraId="67A7CE95" w14:textId="1D13B368"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67" w:history="1">
            <w:r w:rsidR="00EB5C53" w:rsidRPr="008F4CCA">
              <w:rPr>
                <w:rStyle w:val="Hyperlink"/>
                <w:noProof/>
              </w:rPr>
              <w:t>3.</w:t>
            </w:r>
            <w:r w:rsidR="00EB5C53">
              <w:rPr>
                <w:rFonts w:asciiTheme="minorHAnsi" w:eastAsiaTheme="minorEastAsia" w:hAnsiTheme="minorHAnsi" w:cstheme="minorBidi"/>
                <w:noProof/>
                <w:sz w:val="22"/>
                <w:szCs w:val="22"/>
                <w:lang w:eastAsia="zh-TW"/>
              </w:rPr>
              <w:tab/>
            </w:r>
            <w:r w:rsidR="00EB5C53" w:rsidRPr="008F4CCA">
              <w:rPr>
                <w:rStyle w:val="Hyperlink"/>
                <w:noProof/>
              </w:rPr>
              <w:t>CyberSource SFRA Cartridge Architecture</w:t>
            </w:r>
            <w:r w:rsidR="00EB5C53">
              <w:rPr>
                <w:noProof/>
                <w:webHidden/>
              </w:rPr>
              <w:tab/>
            </w:r>
            <w:r w:rsidR="00EB5C53">
              <w:rPr>
                <w:noProof/>
                <w:webHidden/>
              </w:rPr>
              <w:fldChar w:fldCharType="begin"/>
            </w:r>
            <w:r w:rsidR="00EB5C53">
              <w:rPr>
                <w:noProof/>
                <w:webHidden/>
              </w:rPr>
              <w:instrText xml:space="preserve"> PAGEREF _Toc528256767 \h </w:instrText>
            </w:r>
            <w:r w:rsidR="00EB5C53">
              <w:rPr>
                <w:noProof/>
                <w:webHidden/>
              </w:rPr>
            </w:r>
            <w:r w:rsidR="00EB5C53">
              <w:rPr>
                <w:noProof/>
                <w:webHidden/>
              </w:rPr>
              <w:fldChar w:fldCharType="separate"/>
            </w:r>
            <w:r w:rsidR="00EB5C53">
              <w:rPr>
                <w:noProof/>
                <w:webHidden/>
              </w:rPr>
              <w:t>3</w:t>
            </w:r>
            <w:r w:rsidR="00EB5C53">
              <w:rPr>
                <w:noProof/>
                <w:webHidden/>
              </w:rPr>
              <w:fldChar w:fldCharType="end"/>
            </w:r>
          </w:hyperlink>
        </w:p>
        <w:p w14:paraId="2BAD0CF6" w14:textId="4AFA976D"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68" w:history="1">
            <w:r w:rsidR="00EB5C53" w:rsidRPr="008F4CCA">
              <w:rPr>
                <w:rStyle w:val="Hyperlink"/>
                <w:noProof/>
              </w:rPr>
              <w:t>4.</w:t>
            </w:r>
            <w:r w:rsidR="00EB5C53">
              <w:rPr>
                <w:rFonts w:asciiTheme="minorHAnsi" w:eastAsiaTheme="minorEastAsia" w:hAnsiTheme="minorHAnsi" w:cstheme="minorBidi"/>
                <w:noProof/>
                <w:sz w:val="22"/>
                <w:szCs w:val="22"/>
                <w:lang w:eastAsia="zh-TW"/>
              </w:rPr>
              <w:tab/>
            </w:r>
            <w:r w:rsidR="00EB5C53" w:rsidRPr="008F4CCA">
              <w:rPr>
                <w:rStyle w:val="Hyperlink"/>
                <w:noProof/>
              </w:rPr>
              <w:t>Installation Guide</w:t>
            </w:r>
            <w:r w:rsidR="00EB5C53">
              <w:rPr>
                <w:noProof/>
                <w:webHidden/>
              </w:rPr>
              <w:tab/>
            </w:r>
            <w:r w:rsidR="00EB5C53">
              <w:rPr>
                <w:noProof/>
                <w:webHidden/>
              </w:rPr>
              <w:fldChar w:fldCharType="begin"/>
            </w:r>
            <w:r w:rsidR="00EB5C53">
              <w:rPr>
                <w:noProof/>
                <w:webHidden/>
              </w:rPr>
              <w:instrText xml:space="preserve"> PAGEREF _Toc528256768 \h </w:instrText>
            </w:r>
            <w:r w:rsidR="00EB5C53">
              <w:rPr>
                <w:noProof/>
                <w:webHidden/>
              </w:rPr>
            </w:r>
            <w:r w:rsidR="00EB5C53">
              <w:rPr>
                <w:noProof/>
                <w:webHidden/>
              </w:rPr>
              <w:fldChar w:fldCharType="separate"/>
            </w:r>
            <w:r w:rsidR="00EB5C53">
              <w:rPr>
                <w:noProof/>
                <w:webHidden/>
              </w:rPr>
              <w:t>4</w:t>
            </w:r>
            <w:r w:rsidR="00EB5C53">
              <w:rPr>
                <w:noProof/>
                <w:webHidden/>
              </w:rPr>
              <w:fldChar w:fldCharType="end"/>
            </w:r>
          </w:hyperlink>
        </w:p>
        <w:p w14:paraId="28D70340" w14:textId="1B0BB348" w:rsidR="00EB5C53" w:rsidRDefault="004D2C0E">
          <w:pPr>
            <w:pStyle w:val="TOC2"/>
            <w:tabs>
              <w:tab w:val="left" w:pos="880"/>
              <w:tab w:val="right" w:leader="dot" w:pos="10790"/>
            </w:tabs>
            <w:rPr>
              <w:rFonts w:asciiTheme="minorHAnsi" w:eastAsiaTheme="minorEastAsia" w:hAnsiTheme="minorHAnsi" w:cstheme="minorBidi"/>
              <w:noProof/>
              <w:sz w:val="22"/>
              <w:szCs w:val="22"/>
              <w:lang w:eastAsia="zh-TW"/>
            </w:rPr>
          </w:pPr>
          <w:hyperlink w:anchor="_Toc528256769" w:history="1">
            <w:r w:rsidR="00EB5C53" w:rsidRPr="008F4CCA">
              <w:rPr>
                <w:rStyle w:val="Hyperlink"/>
                <w:noProof/>
              </w:rPr>
              <w:t>4.1.</w:t>
            </w:r>
            <w:r w:rsidR="00EB5C53">
              <w:rPr>
                <w:rFonts w:asciiTheme="minorHAnsi" w:eastAsiaTheme="minorEastAsia" w:hAnsiTheme="minorHAnsi" w:cstheme="minorBidi"/>
                <w:noProof/>
                <w:sz w:val="22"/>
                <w:szCs w:val="22"/>
                <w:lang w:eastAsia="zh-TW"/>
              </w:rPr>
              <w:tab/>
            </w:r>
            <w:r w:rsidR="00EB5C53" w:rsidRPr="008F4CCA">
              <w:rPr>
                <w:rStyle w:val="Hyperlink"/>
                <w:noProof/>
              </w:rPr>
              <w:t>Workspace Preparation</w:t>
            </w:r>
            <w:r w:rsidR="00EB5C53">
              <w:rPr>
                <w:noProof/>
                <w:webHidden/>
              </w:rPr>
              <w:tab/>
            </w:r>
            <w:r w:rsidR="00EB5C53">
              <w:rPr>
                <w:noProof/>
                <w:webHidden/>
              </w:rPr>
              <w:fldChar w:fldCharType="begin"/>
            </w:r>
            <w:r w:rsidR="00EB5C53">
              <w:rPr>
                <w:noProof/>
                <w:webHidden/>
              </w:rPr>
              <w:instrText xml:space="preserve"> PAGEREF _Toc528256769 \h </w:instrText>
            </w:r>
            <w:r w:rsidR="00EB5C53">
              <w:rPr>
                <w:noProof/>
                <w:webHidden/>
              </w:rPr>
            </w:r>
            <w:r w:rsidR="00EB5C53">
              <w:rPr>
                <w:noProof/>
                <w:webHidden/>
              </w:rPr>
              <w:fldChar w:fldCharType="separate"/>
            </w:r>
            <w:r w:rsidR="00EB5C53">
              <w:rPr>
                <w:noProof/>
                <w:webHidden/>
              </w:rPr>
              <w:t>4</w:t>
            </w:r>
            <w:r w:rsidR="00EB5C53">
              <w:rPr>
                <w:noProof/>
                <w:webHidden/>
              </w:rPr>
              <w:fldChar w:fldCharType="end"/>
            </w:r>
          </w:hyperlink>
        </w:p>
        <w:p w14:paraId="5BA46579" w14:textId="36DAC1F4"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70" w:history="1">
            <w:r w:rsidR="00EB5C53" w:rsidRPr="008F4CCA">
              <w:rPr>
                <w:rStyle w:val="Hyperlink"/>
                <w:noProof/>
              </w:rPr>
              <w:t>5.</w:t>
            </w:r>
            <w:r w:rsidR="00EB5C53">
              <w:rPr>
                <w:rFonts w:asciiTheme="minorHAnsi" w:eastAsiaTheme="minorEastAsia" w:hAnsiTheme="minorHAnsi" w:cstheme="minorBidi"/>
                <w:noProof/>
                <w:sz w:val="22"/>
                <w:szCs w:val="22"/>
                <w:lang w:eastAsia="zh-TW"/>
              </w:rPr>
              <w:tab/>
            </w:r>
            <w:r w:rsidR="00EB5C53" w:rsidRPr="008F4CCA">
              <w:rPr>
                <w:rStyle w:val="Hyperlink"/>
                <w:noProof/>
              </w:rPr>
              <w:t>Cartridge Installation</w:t>
            </w:r>
            <w:r w:rsidR="00EB5C53">
              <w:rPr>
                <w:noProof/>
                <w:webHidden/>
              </w:rPr>
              <w:tab/>
            </w:r>
            <w:r w:rsidR="00EB5C53">
              <w:rPr>
                <w:noProof/>
                <w:webHidden/>
              </w:rPr>
              <w:fldChar w:fldCharType="begin"/>
            </w:r>
            <w:r w:rsidR="00EB5C53">
              <w:rPr>
                <w:noProof/>
                <w:webHidden/>
              </w:rPr>
              <w:instrText xml:space="preserve"> PAGEREF _Toc528256770 \h </w:instrText>
            </w:r>
            <w:r w:rsidR="00EB5C53">
              <w:rPr>
                <w:noProof/>
                <w:webHidden/>
              </w:rPr>
            </w:r>
            <w:r w:rsidR="00EB5C53">
              <w:rPr>
                <w:noProof/>
                <w:webHidden/>
              </w:rPr>
              <w:fldChar w:fldCharType="separate"/>
            </w:r>
            <w:r w:rsidR="00EB5C53">
              <w:rPr>
                <w:noProof/>
                <w:webHidden/>
              </w:rPr>
              <w:t>5</w:t>
            </w:r>
            <w:r w:rsidR="00EB5C53">
              <w:rPr>
                <w:noProof/>
                <w:webHidden/>
              </w:rPr>
              <w:fldChar w:fldCharType="end"/>
            </w:r>
          </w:hyperlink>
        </w:p>
        <w:p w14:paraId="4CD5A7C7" w14:textId="7EBF88D3"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71" w:history="1">
            <w:r w:rsidR="00EB5C53" w:rsidRPr="008F4CCA">
              <w:rPr>
                <w:rStyle w:val="Hyperlink"/>
                <w:noProof/>
              </w:rPr>
              <w:t>6.</w:t>
            </w:r>
            <w:r w:rsidR="00EB5C53">
              <w:rPr>
                <w:rFonts w:asciiTheme="minorHAnsi" w:eastAsiaTheme="minorEastAsia" w:hAnsiTheme="minorHAnsi" w:cstheme="minorBidi"/>
                <w:noProof/>
                <w:sz w:val="22"/>
                <w:szCs w:val="22"/>
                <w:lang w:eastAsia="zh-TW"/>
              </w:rPr>
              <w:tab/>
            </w:r>
            <w:r w:rsidR="00EB5C53" w:rsidRPr="008F4CCA">
              <w:rPr>
                <w:rStyle w:val="Hyperlink"/>
                <w:noProof/>
              </w:rPr>
              <w:t>Tax Calculation</w:t>
            </w:r>
            <w:r w:rsidR="00EB5C53">
              <w:rPr>
                <w:noProof/>
                <w:webHidden/>
              </w:rPr>
              <w:tab/>
            </w:r>
            <w:r w:rsidR="00EB5C53">
              <w:rPr>
                <w:noProof/>
                <w:webHidden/>
              </w:rPr>
              <w:fldChar w:fldCharType="begin"/>
            </w:r>
            <w:r w:rsidR="00EB5C53">
              <w:rPr>
                <w:noProof/>
                <w:webHidden/>
              </w:rPr>
              <w:instrText xml:space="preserve"> PAGEREF _Toc528256771 \h </w:instrText>
            </w:r>
            <w:r w:rsidR="00EB5C53">
              <w:rPr>
                <w:noProof/>
                <w:webHidden/>
              </w:rPr>
            </w:r>
            <w:r w:rsidR="00EB5C53">
              <w:rPr>
                <w:noProof/>
                <w:webHidden/>
              </w:rPr>
              <w:fldChar w:fldCharType="separate"/>
            </w:r>
            <w:r w:rsidR="00EB5C53">
              <w:rPr>
                <w:noProof/>
                <w:webHidden/>
              </w:rPr>
              <w:t>7</w:t>
            </w:r>
            <w:r w:rsidR="00EB5C53">
              <w:rPr>
                <w:noProof/>
                <w:webHidden/>
              </w:rPr>
              <w:fldChar w:fldCharType="end"/>
            </w:r>
          </w:hyperlink>
        </w:p>
        <w:p w14:paraId="3B924872" w14:textId="5DF7A604"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72" w:history="1">
            <w:r w:rsidR="00EB5C53" w:rsidRPr="008F4CCA">
              <w:rPr>
                <w:rStyle w:val="Hyperlink"/>
                <w:noProof/>
              </w:rPr>
              <w:t>7.</w:t>
            </w:r>
            <w:r w:rsidR="00EB5C53">
              <w:rPr>
                <w:rFonts w:asciiTheme="minorHAnsi" w:eastAsiaTheme="minorEastAsia" w:hAnsiTheme="minorHAnsi" w:cstheme="minorBidi"/>
                <w:noProof/>
                <w:sz w:val="22"/>
                <w:szCs w:val="22"/>
                <w:lang w:eastAsia="zh-TW"/>
              </w:rPr>
              <w:tab/>
            </w:r>
            <w:r w:rsidR="00EB5C53" w:rsidRPr="008F4CCA">
              <w:rPr>
                <w:rStyle w:val="Hyperlink"/>
                <w:noProof/>
              </w:rPr>
              <w:t>Credit Card Authorization</w:t>
            </w:r>
            <w:r w:rsidR="00EB5C53">
              <w:rPr>
                <w:noProof/>
                <w:webHidden/>
              </w:rPr>
              <w:tab/>
            </w:r>
            <w:r w:rsidR="00EB5C53">
              <w:rPr>
                <w:noProof/>
                <w:webHidden/>
              </w:rPr>
              <w:fldChar w:fldCharType="begin"/>
            </w:r>
            <w:r w:rsidR="00EB5C53">
              <w:rPr>
                <w:noProof/>
                <w:webHidden/>
              </w:rPr>
              <w:instrText xml:space="preserve"> PAGEREF _Toc528256772 \h </w:instrText>
            </w:r>
            <w:r w:rsidR="00EB5C53">
              <w:rPr>
                <w:noProof/>
                <w:webHidden/>
              </w:rPr>
            </w:r>
            <w:r w:rsidR="00EB5C53">
              <w:rPr>
                <w:noProof/>
                <w:webHidden/>
              </w:rPr>
              <w:fldChar w:fldCharType="separate"/>
            </w:r>
            <w:r w:rsidR="00EB5C53">
              <w:rPr>
                <w:noProof/>
                <w:webHidden/>
              </w:rPr>
              <w:t>9</w:t>
            </w:r>
            <w:r w:rsidR="00EB5C53">
              <w:rPr>
                <w:noProof/>
                <w:webHidden/>
              </w:rPr>
              <w:fldChar w:fldCharType="end"/>
            </w:r>
          </w:hyperlink>
        </w:p>
        <w:p w14:paraId="75F21E5E" w14:textId="103C225C"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73" w:history="1">
            <w:r w:rsidR="00EB5C53" w:rsidRPr="008F4CCA">
              <w:rPr>
                <w:rStyle w:val="Hyperlink"/>
                <w:noProof/>
              </w:rPr>
              <w:t>8.</w:t>
            </w:r>
            <w:r w:rsidR="00EB5C53">
              <w:rPr>
                <w:rFonts w:asciiTheme="minorHAnsi" w:eastAsiaTheme="minorEastAsia" w:hAnsiTheme="minorHAnsi" w:cstheme="minorBidi"/>
                <w:noProof/>
                <w:sz w:val="22"/>
                <w:szCs w:val="22"/>
                <w:lang w:eastAsia="zh-TW"/>
              </w:rPr>
              <w:tab/>
            </w:r>
            <w:r w:rsidR="00EB5C53" w:rsidRPr="008F4CCA">
              <w:rPr>
                <w:rStyle w:val="Hyperlink"/>
                <w:noProof/>
              </w:rPr>
              <w:t>Delivery Address Verification</w:t>
            </w:r>
            <w:r w:rsidR="00EB5C53">
              <w:rPr>
                <w:noProof/>
                <w:webHidden/>
              </w:rPr>
              <w:tab/>
            </w:r>
            <w:r w:rsidR="00EB5C53">
              <w:rPr>
                <w:noProof/>
                <w:webHidden/>
              </w:rPr>
              <w:fldChar w:fldCharType="begin"/>
            </w:r>
            <w:r w:rsidR="00EB5C53">
              <w:rPr>
                <w:noProof/>
                <w:webHidden/>
              </w:rPr>
              <w:instrText xml:space="preserve"> PAGEREF _Toc528256773 \h </w:instrText>
            </w:r>
            <w:r w:rsidR="00EB5C53">
              <w:rPr>
                <w:noProof/>
                <w:webHidden/>
              </w:rPr>
            </w:r>
            <w:r w:rsidR="00EB5C53">
              <w:rPr>
                <w:noProof/>
                <w:webHidden/>
              </w:rPr>
              <w:fldChar w:fldCharType="separate"/>
            </w:r>
            <w:r w:rsidR="00EB5C53">
              <w:rPr>
                <w:noProof/>
                <w:webHidden/>
              </w:rPr>
              <w:t>11</w:t>
            </w:r>
            <w:r w:rsidR="00EB5C53">
              <w:rPr>
                <w:noProof/>
                <w:webHidden/>
              </w:rPr>
              <w:fldChar w:fldCharType="end"/>
            </w:r>
          </w:hyperlink>
        </w:p>
        <w:p w14:paraId="6483FDFF" w14:textId="134FE0C9" w:rsidR="00EB5C53" w:rsidRDefault="004D2C0E">
          <w:pPr>
            <w:pStyle w:val="TOC1"/>
            <w:tabs>
              <w:tab w:val="left" w:pos="440"/>
              <w:tab w:val="right" w:leader="dot" w:pos="10790"/>
            </w:tabs>
            <w:rPr>
              <w:rFonts w:asciiTheme="minorHAnsi" w:eastAsiaTheme="minorEastAsia" w:hAnsiTheme="minorHAnsi" w:cstheme="minorBidi"/>
              <w:noProof/>
              <w:sz w:val="22"/>
              <w:szCs w:val="22"/>
              <w:lang w:eastAsia="zh-TW"/>
            </w:rPr>
          </w:pPr>
          <w:hyperlink w:anchor="_Toc528256774" w:history="1">
            <w:r w:rsidR="00EB5C53" w:rsidRPr="008F4CCA">
              <w:rPr>
                <w:rStyle w:val="Hyperlink"/>
                <w:noProof/>
              </w:rPr>
              <w:t>9.</w:t>
            </w:r>
            <w:r w:rsidR="00EB5C53">
              <w:rPr>
                <w:rFonts w:asciiTheme="minorHAnsi" w:eastAsiaTheme="minorEastAsia" w:hAnsiTheme="minorHAnsi" w:cstheme="minorBidi"/>
                <w:noProof/>
                <w:sz w:val="22"/>
                <w:szCs w:val="22"/>
                <w:lang w:eastAsia="zh-TW"/>
              </w:rPr>
              <w:tab/>
            </w:r>
            <w:r w:rsidR="00EB5C53" w:rsidRPr="008F4CCA">
              <w:rPr>
                <w:rStyle w:val="Hyperlink"/>
                <w:noProof/>
              </w:rPr>
              <w:t>Address Verification Service (AVS)</w:t>
            </w:r>
            <w:r w:rsidR="00EB5C53">
              <w:rPr>
                <w:noProof/>
                <w:webHidden/>
              </w:rPr>
              <w:tab/>
            </w:r>
            <w:r w:rsidR="00EB5C53">
              <w:rPr>
                <w:noProof/>
                <w:webHidden/>
              </w:rPr>
              <w:fldChar w:fldCharType="begin"/>
            </w:r>
            <w:r w:rsidR="00EB5C53">
              <w:rPr>
                <w:noProof/>
                <w:webHidden/>
              </w:rPr>
              <w:instrText xml:space="preserve"> PAGEREF _Toc528256774 \h </w:instrText>
            </w:r>
            <w:r w:rsidR="00EB5C53">
              <w:rPr>
                <w:noProof/>
                <w:webHidden/>
              </w:rPr>
            </w:r>
            <w:r w:rsidR="00EB5C53">
              <w:rPr>
                <w:noProof/>
                <w:webHidden/>
              </w:rPr>
              <w:fldChar w:fldCharType="separate"/>
            </w:r>
            <w:r w:rsidR="00EB5C53">
              <w:rPr>
                <w:noProof/>
                <w:webHidden/>
              </w:rPr>
              <w:t>12</w:t>
            </w:r>
            <w:r w:rsidR="00EB5C53">
              <w:rPr>
                <w:noProof/>
                <w:webHidden/>
              </w:rPr>
              <w:fldChar w:fldCharType="end"/>
            </w:r>
          </w:hyperlink>
        </w:p>
        <w:p w14:paraId="36B41799" w14:textId="5938401E"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75" w:history="1">
            <w:r w:rsidR="00EB5C53" w:rsidRPr="008F4CCA">
              <w:rPr>
                <w:rStyle w:val="Hyperlink"/>
                <w:noProof/>
              </w:rPr>
              <w:t>10.</w:t>
            </w:r>
            <w:r w:rsidR="00EB5C53">
              <w:rPr>
                <w:rFonts w:asciiTheme="minorHAnsi" w:eastAsiaTheme="minorEastAsia" w:hAnsiTheme="minorHAnsi" w:cstheme="minorBidi"/>
                <w:noProof/>
                <w:sz w:val="22"/>
                <w:szCs w:val="22"/>
                <w:lang w:eastAsia="zh-TW"/>
              </w:rPr>
              <w:tab/>
            </w:r>
            <w:r w:rsidR="00EB5C53" w:rsidRPr="008F4CCA">
              <w:rPr>
                <w:rStyle w:val="Hyperlink"/>
                <w:noProof/>
              </w:rPr>
              <w:t>Device Fingerprint</w:t>
            </w:r>
            <w:r w:rsidR="00EB5C53">
              <w:rPr>
                <w:noProof/>
                <w:webHidden/>
              </w:rPr>
              <w:tab/>
            </w:r>
            <w:r w:rsidR="00EB5C53">
              <w:rPr>
                <w:noProof/>
                <w:webHidden/>
              </w:rPr>
              <w:fldChar w:fldCharType="begin"/>
            </w:r>
            <w:r w:rsidR="00EB5C53">
              <w:rPr>
                <w:noProof/>
                <w:webHidden/>
              </w:rPr>
              <w:instrText xml:space="preserve"> PAGEREF _Toc528256775 \h </w:instrText>
            </w:r>
            <w:r w:rsidR="00EB5C53">
              <w:rPr>
                <w:noProof/>
                <w:webHidden/>
              </w:rPr>
            </w:r>
            <w:r w:rsidR="00EB5C53">
              <w:rPr>
                <w:noProof/>
                <w:webHidden/>
              </w:rPr>
              <w:fldChar w:fldCharType="separate"/>
            </w:r>
            <w:r w:rsidR="00EB5C53">
              <w:rPr>
                <w:noProof/>
                <w:webHidden/>
              </w:rPr>
              <w:t>13</w:t>
            </w:r>
            <w:r w:rsidR="00EB5C53">
              <w:rPr>
                <w:noProof/>
                <w:webHidden/>
              </w:rPr>
              <w:fldChar w:fldCharType="end"/>
            </w:r>
          </w:hyperlink>
        </w:p>
        <w:p w14:paraId="35FA1B01" w14:textId="4C750FFD"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76" w:history="1">
            <w:r w:rsidR="00EB5C53" w:rsidRPr="008F4CCA">
              <w:rPr>
                <w:rStyle w:val="Hyperlink"/>
                <w:noProof/>
              </w:rPr>
              <w:t>11.</w:t>
            </w:r>
            <w:r w:rsidR="00EB5C53">
              <w:rPr>
                <w:rFonts w:asciiTheme="minorHAnsi" w:eastAsiaTheme="minorEastAsia" w:hAnsiTheme="minorHAnsi" w:cstheme="minorBidi"/>
                <w:noProof/>
                <w:sz w:val="22"/>
                <w:szCs w:val="22"/>
                <w:lang w:eastAsia="zh-TW"/>
              </w:rPr>
              <w:tab/>
            </w:r>
            <w:r w:rsidR="00EB5C53" w:rsidRPr="008F4CCA">
              <w:rPr>
                <w:rStyle w:val="Hyperlink"/>
                <w:noProof/>
              </w:rPr>
              <w:t>Decision Manager</w:t>
            </w:r>
            <w:r w:rsidR="00EB5C53">
              <w:rPr>
                <w:noProof/>
                <w:webHidden/>
              </w:rPr>
              <w:tab/>
            </w:r>
            <w:r w:rsidR="00EB5C53">
              <w:rPr>
                <w:noProof/>
                <w:webHidden/>
              </w:rPr>
              <w:fldChar w:fldCharType="begin"/>
            </w:r>
            <w:r w:rsidR="00EB5C53">
              <w:rPr>
                <w:noProof/>
                <w:webHidden/>
              </w:rPr>
              <w:instrText xml:space="preserve"> PAGEREF _Toc528256776 \h </w:instrText>
            </w:r>
            <w:r w:rsidR="00EB5C53">
              <w:rPr>
                <w:noProof/>
                <w:webHidden/>
              </w:rPr>
            </w:r>
            <w:r w:rsidR="00EB5C53">
              <w:rPr>
                <w:noProof/>
                <w:webHidden/>
              </w:rPr>
              <w:fldChar w:fldCharType="separate"/>
            </w:r>
            <w:r w:rsidR="00EB5C53">
              <w:rPr>
                <w:noProof/>
                <w:webHidden/>
              </w:rPr>
              <w:t>14</w:t>
            </w:r>
            <w:r w:rsidR="00EB5C53">
              <w:rPr>
                <w:noProof/>
                <w:webHidden/>
              </w:rPr>
              <w:fldChar w:fldCharType="end"/>
            </w:r>
          </w:hyperlink>
        </w:p>
        <w:p w14:paraId="56EAC7B5" w14:textId="78A7F3ED"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77" w:history="1">
            <w:r w:rsidR="00EB5C53" w:rsidRPr="008F4CCA">
              <w:rPr>
                <w:rStyle w:val="Hyperlink"/>
                <w:noProof/>
              </w:rPr>
              <w:t>12.</w:t>
            </w:r>
            <w:r w:rsidR="00EB5C53">
              <w:rPr>
                <w:rFonts w:asciiTheme="minorHAnsi" w:eastAsiaTheme="minorEastAsia" w:hAnsiTheme="minorHAnsi" w:cstheme="minorBidi"/>
                <w:noProof/>
                <w:sz w:val="22"/>
                <w:szCs w:val="22"/>
                <w:lang w:eastAsia="zh-TW"/>
              </w:rPr>
              <w:tab/>
            </w:r>
            <w:r w:rsidR="00EB5C53" w:rsidRPr="008F4CCA">
              <w:rPr>
                <w:rStyle w:val="Hyperlink"/>
                <w:noProof/>
              </w:rPr>
              <w:t>Decision Manager Order Update Job</w:t>
            </w:r>
            <w:r w:rsidR="00EB5C53">
              <w:rPr>
                <w:noProof/>
                <w:webHidden/>
              </w:rPr>
              <w:tab/>
            </w:r>
            <w:r w:rsidR="00EB5C53">
              <w:rPr>
                <w:noProof/>
                <w:webHidden/>
              </w:rPr>
              <w:fldChar w:fldCharType="begin"/>
            </w:r>
            <w:r w:rsidR="00EB5C53">
              <w:rPr>
                <w:noProof/>
                <w:webHidden/>
              </w:rPr>
              <w:instrText xml:space="preserve"> PAGEREF _Toc528256777 \h </w:instrText>
            </w:r>
            <w:r w:rsidR="00EB5C53">
              <w:rPr>
                <w:noProof/>
                <w:webHidden/>
              </w:rPr>
            </w:r>
            <w:r w:rsidR="00EB5C53">
              <w:rPr>
                <w:noProof/>
                <w:webHidden/>
              </w:rPr>
              <w:fldChar w:fldCharType="separate"/>
            </w:r>
            <w:r w:rsidR="00EB5C53">
              <w:rPr>
                <w:noProof/>
                <w:webHidden/>
              </w:rPr>
              <w:t>15</w:t>
            </w:r>
            <w:r w:rsidR="00EB5C53">
              <w:rPr>
                <w:noProof/>
                <w:webHidden/>
              </w:rPr>
              <w:fldChar w:fldCharType="end"/>
            </w:r>
          </w:hyperlink>
        </w:p>
        <w:p w14:paraId="07FC5C80" w14:textId="468ACAE0"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78" w:history="1">
            <w:r w:rsidR="00EB5C53" w:rsidRPr="008F4CCA">
              <w:rPr>
                <w:rStyle w:val="Hyperlink"/>
                <w:noProof/>
              </w:rPr>
              <w:t>13.</w:t>
            </w:r>
            <w:r w:rsidR="00EB5C53">
              <w:rPr>
                <w:rFonts w:asciiTheme="minorHAnsi" w:eastAsiaTheme="minorEastAsia" w:hAnsiTheme="minorHAnsi" w:cstheme="minorBidi"/>
                <w:noProof/>
                <w:sz w:val="22"/>
                <w:szCs w:val="22"/>
                <w:lang w:eastAsia="zh-TW"/>
              </w:rPr>
              <w:tab/>
            </w:r>
            <w:r w:rsidR="00EB5C53" w:rsidRPr="008F4CCA">
              <w:rPr>
                <w:rStyle w:val="Hyperlink"/>
                <w:noProof/>
              </w:rPr>
              <w:t>Payment Tokenization</w:t>
            </w:r>
            <w:r w:rsidR="00EB5C53">
              <w:rPr>
                <w:noProof/>
                <w:webHidden/>
              </w:rPr>
              <w:tab/>
            </w:r>
            <w:r w:rsidR="00EB5C53">
              <w:rPr>
                <w:noProof/>
                <w:webHidden/>
              </w:rPr>
              <w:fldChar w:fldCharType="begin"/>
            </w:r>
            <w:r w:rsidR="00EB5C53">
              <w:rPr>
                <w:noProof/>
                <w:webHidden/>
              </w:rPr>
              <w:instrText xml:space="preserve"> PAGEREF _Toc528256778 \h </w:instrText>
            </w:r>
            <w:r w:rsidR="00EB5C53">
              <w:rPr>
                <w:noProof/>
                <w:webHidden/>
              </w:rPr>
            </w:r>
            <w:r w:rsidR="00EB5C53">
              <w:rPr>
                <w:noProof/>
                <w:webHidden/>
              </w:rPr>
              <w:fldChar w:fldCharType="separate"/>
            </w:r>
            <w:r w:rsidR="00EB5C53">
              <w:rPr>
                <w:noProof/>
                <w:webHidden/>
              </w:rPr>
              <w:t>16</w:t>
            </w:r>
            <w:r w:rsidR="00EB5C53">
              <w:rPr>
                <w:noProof/>
                <w:webHidden/>
              </w:rPr>
              <w:fldChar w:fldCharType="end"/>
            </w:r>
          </w:hyperlink>
        </w:p>
        <w:p w14:paraId="777543A2" w14:textId="538993F5"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79" w:history="1">
            <w:r w:rsidR="00EB5C53" w:rsidRPr="008F4CCA">
              <w:rPr>
                <w:rStyle w:val="Hyperlink"/>
                <w:noProof/>
              </w:rPr>
              <w:t>14.</w:t>
            </w:r>
            <w:r w:rsidR="00EB5C53">
              <w:rPr>
                <w:rFonts w:asciiTheme="minorHAnsi" w:eastAsiaTheme="minorEastAsia" w:hAnsiTheme="minorHAnsi" w:cstheme="minorBidi"/>
                <w:noProof/>
                <w:sz w:val="22"/>
                <w:szCs w:val="22"/>
                <w:lang w:eastAsia="zh-TW"/>
              </w:rPr>
              <w:tab/>
            </w:r>
            <w:r w:rsidR="00EB5C53" w:rsidRPr="008F4CCA">
              <w:rPr>
                <w:rStyle w:val="Hyperlink"/>
                <w:noProof/>
              </w:rPr>
              <w:t>Apple Pay</w:t>
            </w:r>
            <w:r w:rsidR="00EB5C53">
              <w:rPr>
                <w:noProof/>
                <w:webHidden/>
              </w:rPr>
              <w:tab/>
            </w:r>
            <w:r w:rsidR="00EB5C53">
              <w:rPr>
                <w:noProof/>
                <w:webHidden/>
              </w:rPr>
              <w:fldChar w:fldCharType="begin"/>
            </w:r>
            <w:r w:rsidR="00EB5C53">
              <w:rPr>
                <w:noProof/>
                <w:webHidden/>
              </w:rPr>
              <w:instrText xml:space="preserve"> PAGEREF _Toc528256779 \h </w:instrText>
            </w:r>
            <w:r w:rsidR="00EB5C53">
              <w:rPr>
                <w:noProof/>
                <w:webHidden/>
              </w:rPr>
            </w:r>
            <w:r w:rsidR="00EB5C53">
              <w:rPr>
                <w:noProof/>
                <w:webHidden/>
              </w:rPr>
              <w:fldChar w:fldCharType="separate"/>
            </w:r>
            <w:r w:rsidR="00EB5C53">
              <w:rPr>
                <w:noProof/>
                <w:webHidden/>
              </w:rPr>
              <w:t>17</w:t>
            </w:r>
            <w:r w:rsidR="00EB5C53">
              <w:rPr>
                <w:noProof/>
                <w:webHidden/>
              </w:rPr>
              <w:fldChar w:fldCharType="end"/>
            </w:r>
          </w:hyperlink>
        </w:p>
        <w:p w14:paraId="68B09356" w14:textId="5B285A6E"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80" w:history="1">
            <w:r w:rsidR="00EB5C53" w:rsidRPr="008F4CCA">
              <w:rPr>
                <w:rStyle w:val="Hyperlink"/>
                <w:noProof/>
              </w:rPr>
              <w:t>15.</w:t>
            </w:r>
            <w:r w:rsidR="00EB5C53">
              <w:rPr>
                <w:rFonts w:asciiTheme="minorHAnsi" w:eastAsiaTheme="minorEastAsia" w:hAnsiTheme="minorHAnsi" w:cstheme="minorBidi"/>
                <w:noProof/>
                <w:sz w:val="22"/>
                <w:szCs w:val="22"/>
                <w:lang w:eastAsia="zh-TW"/>
              </w:rPr>
              <w:tab/>
            </w:r>
            <w:r w:rsidR="00EB5C53" w:rsidRPr="008F4CCA">
              <w:rPr>
                <w:rStyle w:val="Hyperlink"/>
                <w:noProof/>
              </w:rPr>
              <w:t>Merchant Defined Data (MDD)</w:t>
            </w:r>
            <w:r w:rsidR="00EB5C53">
              <w:rPr>
                <w:noProof/>
                <w:webHidden/>
              </w:rPr>
              <w:tab/>
            </w:r>
            <w:r w:rsidR="00EB5C53">
              <w:rPr>
                <w:noProof/>
                <w:webHidden/>
              </w:rPr>
              <w:fldChar w:fldCharType="begin"/>
            </w:r>
            <w:r w:rsidR="00EB5C53">
              <w:rPr>
                <w:noProof/>
                <w:webHidden/>
              </w:rPr>
              <w:instrText xml:space="preserve"> PAGEREF _Toc528256780 \h </w:instrText>
            </w:r>
            <w:r w:rsidR="00EB5C53">
              <w:rPr>
                <w:noProof/>
                <w:webHidden/>
              </w:rPr>
            </w:r>
            <w:r w:rsidR="00EB5C53">
              <w:rPr>
                <w:noProof/>
                <w:webHidden/>
              </w:rPr>
              <w:fldChar w:fldCharType="separate"/>
            </w:r>
            <w:r w:rsidR="00EB5C53">
              <w:rPr>
                <w:noProof/>
                <w:webHidden/>
              </w:rPr>
              <w:t>19</w:t>
            </w:r>
            <w:r w:rsidR="00EB5C53">
              <w:rPr>
                <w:noProof/>
                <w:webHidden/>
              </w:rPr>
              <w:fldChar w:fldCharType="end"/>
            </w:r>
          </w:hyperlink>
        </w:p>
        <w:p w14:paraId="59114340" w14:textId="64BA3486"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81" w:history="1">
            <w:r w:rsidR="00EB5C53" w:rsidRPr="008F4CCA">
              <w:rPr>
                <w:rStyle w:val="Hyperlink"/>
                <w:noProof/>
              </w:rPr>
              <w:t>16.</w:t>
            </w:r>
            <w:r w:rsidR="00EB5C53">
              <w:rPr>
                <w:rFonts w:asciiTheme="minorHAnsi" w:eastAsiaTheme="minorEastAsia" w:hAnsiTheme="minorHAnsi" w:cstheme="minorBidi"/>
                <w:noProof/>
                <w:sz w:val="22"/>
                <w:szCs w:val="22"/>
                <w:lang w:eastAsia="zh-TW"/>
              </w:rPr>
              <w:tab/>
            </w:r>
            <w:r w:rsidR="00EB5C53" w:rsidRPr="008F4CCA">
              <w:rPr>
                <w:rStyle w:val="Hyperlink"/>
                <w:noProof/>
              </w:rPr>
              <w:t>Payer Authentication</w:t>
            </w:r>
            <w:r w:rsidR="00EB5C53">
              <w:rPr>
                <w:noProof/>
                <w:webHidden/>
              </w:rPr>
              <w:tab/>
            </w:r>
            <w:r w:rsidR="00EB5C53">
              <w:rPr>
                <w:noProof/>
                <w:webHidden/>
              </w:rPr>
              <w:fldChar w:fldCharType="begin"/>
            </w:r>
            <w:r w:rsidR="00EB5C53">
              <w:rPr>
                <w:noProof/>
                <w:webHidden/>
              </w:rPr>
              <w:instrText xml:space="preserve"> PAGEREF _Toc528256781 \h </w:instrText>
            </w:r>
            <w:r w:rsidR="00EB5C53">
              <w:rPr>
                <w:noProof/>
                <w:webHidden/>
              </w:rPr>
            </w:r>
            <w:r w:rsidR="00EB5C53">
              <w:rPr>
                <w:noProof/>
                <w:webHidden/>
              </w:rPr>
              <w:fldChar w:fldCharType="separate"/>
            </w:r>
            <w:r w:rsidR="00EB5C53">
              <w:rPr>
                <w:noProof/>
                <w:webHidden/>
              </w:rPr>
              <w:t>20</w:t>
            </w:r>
            <w:r w:rsidR="00EB5C53">
              <w:rPr>
                <w:noProof/>
                <w:webHidden/>
              </w:rPr>
              <w:fldChar w:fldCharType="end"/>
            </w:r>
          </w:hyperlink>
        </w:p>
        <w:p w14:paraId="064DD581" w14:textId="430D3EDC"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82" w:history="1">
            <w:r w:rsidR="00EB5C53" w:rsidRPr="008F4CCA">
              <w:rPr>
                <w:rStyle w:val="Hyperlink"/>
                <w:noProof/>
              </w:rPr>
              <w:t>17.</w:t>
            </w:r>
            <w:r w:rsidR="00EB5C53">
              <w:rPr>
                <w:rFonts w:asciiTheme="minorHAnsi" w:eastAsiaTheme="minorEastAsia" w:hAnsiTheme="minorHAnsi" w:cstheme="minorBidi"/>
                <w:noProof/>
                <w:sz w:val="22"/>
                <w:szCs w:val="22"/>
                <w:lang w:eastAsia="zh-TW"/>
              </w:rPr>
              <w:tab/>
            </w:r>
            <w:r w:rsidR="00EB5C53" w:rsidRPr="008F4CCA">
              <w:rPr>
                <w:rStyle w:val="Hyperlink"/>
                <w:noProof/>
              </w:rPr>
              <w:t>Secure Acceptance Hosted Checkout – iFrame</w:t>
            </w:r>
            <w:r w:rsidR="00EB5C53">
              <w:rPr>
                <w:noProof/>
                <w:webHidden/>
              </w:rPr>
              <w:tab/>
            </w:r>
            <w:r w:rsidR="00EB5C53">
              <w:rPr>
                <w:noProof/>
                <w:webHidden/>
              </w:rPr>
              <w:fldChar w:fldCharType="begin"/>
            </w:r>
            <w:r w:rsidR="00EB5C53">
              <w:rPr>
                <w:noProof/>
                <w:webHidden/>
              </w:rPr>
              <w:instrText xml:space="preserve"> PAGEREF _Toc528256782 \h </w:instrText>
            </w:r>
            <w:r w:rsidR="00EB5C53">
              <w:rPr>
                <w:noProof/>
                <w:webHidden/>
              </w:rPr>
            </w:r>
            <w:r w:rsidR="00EB5C53">
              <w:rPr>
                <w:noProof/>
                <w:webHidden/>
              </w:rPr>
              <w:fldChar w:fldCharType="separate"/>
            </w:r>
            <w:r w:rsidR="00EB5C53">
              <w:rPr>
                <w:noProof/>
                <w:webHidden/>
              </w:rPr>
              <w:t>22</w:t>
            </w:r>
            <w:r w:rsidR="00EB5C53">
              <w:rPr>
                <w:noProof/>
                <w:webHidden/>
              </w:rPr>
              <w:fldChar w:fldCharType="end"/>
            </w:r>
          </w:hyperlink>
        </w:p>
        <w:p w14:paraId="730474E0" w14:textId="62CA2D98"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83" w:history="1">
            <w:r w:rsidR="00EB5C53" w:rsidRPr="008F4CCA">
              <w:rPr>
                <w:rStyle w:val="Hyperlink"/>
                <w:noProof/>
              </w:rPr>
              <w:t>18.</w:t>
            </w:r>
            <w:r w:rsidR="00EB5C53">
              <w:rPr>
                <w:rFonts w:asciiTheme="minorHAnsi" w:eastAsiaTheme="minorEastAsia" w:hAnsiTheme="minorHAnsi" w:cstheme="minorBidi"/>
                <w:noProof/>
                <w:sz w:val="22"/>
                <w:szCs w:val="22"/>
                <w:lang w:eastAsia="zh-TW"/>
              </w:rPr>
              <w:tab/>
            </w:r>
            <w:r w:rsidR="00EB5C53" w:rsidRPr="008F4CCA">
              <w:rPr>
                <w:rStyle w:val="Hyperlink"/>
                <w:noProof/>
              </w:rPr>
              <w:t>Secure Acceptance Checkout API</w:t>
            </w:r>
            <w:r w:rsidR="00EB5C53">
              <w:rPr>
                <w:noProof/>
                <w:webHidden/>
              </w:rPr>
              <w:tab/>
            </w:r>
            <w:r w:rsidR="00EB5C53">
              <w:rPr>
                <w:noProof/>
                <w:webHidden/>
              </w:rPr>
              <w:fldChar w:fldCharType="begin"/>
            </w:r>
            <w:r w:rsidR="00EB5C53">
              <w:rPr>
                <w:noProof/>
                <w:webHidden/>
              </w:rPr>
              <w:instrText xml:space="preserve"> PAGEREF _Toc528256783 \h </w:instrText>
            </w:r>
            <w:r w:rsidR="00EB5C53">
              <w:rPr>
                <w:noProof/>
                <w:webHidden/>
              </w:rPr>
            </w:r>
            <w:r w:rsidR="00EB5C53">
              <w:rPr>
                <w:noProof/>
                <w:webHidden/>
              </w:rPr>
              <w:fldChar w:fldCharType="separate"/>
            </w:r>
            <w:r w:rsidR="00EB5C53">
              <w:rPr>
                <w:noProof/>
                <w:webHidden/>
              </w:rPr>
              <w:t>25</w:t>
            </w:r>
            <w:r w:rsidR="00EB5C53">
              <w:rPr>
                <w:noProof/>
                <w:webHidden/>
              </w:rPr>
              <w:fldChar w:fldCharType="end"/>
            </w:r>
          </w:hyperlink>
        </w:p>
        <w:p w14:paraId="0D04AC5D" w14:textId="15DADC70" w:rsidR="00EB5C53" w:rsidRDefault="004D2C0E">
          <w:pPr>
            <w:pStyle w:val="TOC1"/>
            <w:tabs>
              <w:tab w:val="left" w:pos="660"/>
              <w:tab w:val="right" w:leader="dot" w:pos="10790"/>
            </w:tabs>
            <w:rPr>
              <w:rFonts w:asciiTheme="minorHAnsi" w:eastAsiaTheme="minorEastAsia" w:hAnsiTheme="minorHAnsi" w:cstheme="minorBidi"/>
              <w:noProof/>
              <w:sz w:val="22"/>
              <w:szCs w:val="22"/>
              <w:lang w:eastAsia="zh-TW"/>
            </w:rPr>
          </w:pPr>
          <w:hyperlink w:anchor="_Toc528256784" w:history="1">
            <w:r w:rsidR="00EB5C53" w:rsidRPr="008F4CCA">
              <w:rPr>
                <w:rStyle w:val="Hyperlink"/>
                <w:noProof/>
              </w:rPr>
              <w:t>19.</w:t>
            </w:r>
            <w:r w:rsidR="00EB5C53">
              <w:rPr>
                <w:rFonts w:asciiTheme="minorHAnsi" w:eastAsiaTheme="minorEastAsia" w:hAnsiTheme="minorHAnsi" w:cstheme="minorBidi"/>
                <w:noProof/>
                <w:sz w:val="22"/>
                <w:szCs w:val="22"/>
                <w:lang w:eastAsia="zh-TW"/>
              </w:rPr>
              <w:tab/>
            </w:r>
            <w:r w:rsidR="00EB5C53" w:rsidRPr="008F4CCA">
              <w:rPr>
                <w:rStyle w:val="Hyperlink"/>
                <w:noProof/>
              </w:rPr>
              <w:t>Secure Acceptance Flex MicroForm</w:t>
            </w:r>
            <w:r w:rsidR="00EB5C53">
              <w:rPr>
                <w:noProof/>
                <w:webHidden/>
              </w:rPr>
              <w:tab/>
            </w:r>
            <w:r w:rsidR="00EB5C53">
              <w:rPr>
                <w:noProof/>
                <w:webHidden/>
              </w:rPr>
              <w:fldChar w:fldCharType="begin"/>
            </w:r>
            <w:r w:rsidR="00EB5C53">
              <w:rPr>
                <w:noProof/>
                <w:webHidden/>
              </w:rPr>
              <w:instrText xml:space="preserve"> PAGEREF _Toc528256784 \h </w:instrText>
            </w:r>
            <w:r w:rsidR="00EB5C53">
              <w:rPr>
                <w:noProof/>
                <w:webHidden/>
              </w:rPr>
            </w:r>
            <w:r w:rsidR="00EB5C53">
              <w:rPr>
                <w:noProof/>
                <w:webHidden/>
              </w:rPr>
              <w:fldChar w:fldCharType="separate"/>
            </w:r>
            <w:r w:rsidR="00EB5C53">
              <w:rPr>
                <w:noProof/>
                <w:webHidden/>
              </w:rPr>
              <w:t>27</w:t>
            </w:r>
            <w:r w:rsidR="00EB5C53">
              <w:rPr>
                <w:noProof/>
                <w:webHidden/>
              </w:rPr>
              <w:fldChar w:fldCharType="end"/>
            </w:r>
          </w:hyperlink>
        </w:p>
        <w:p w14:paraId="3D38B359" w14:textId="08477475" w:rsidR="00EB5C53" w:rsidRDefault="00EB5C53">
          <w:r>
            <w:rPr>
              <w:b/>
              <w:bCs/>
              <w:noProof/>
            </w:rPr>
            <w:fldChar w:fldCharType="end"/>
          </w:r>
        </w:p>
      </w:sdtContent>
    </w:sdt>
    <w:p w14:paraId="38488A27" w14:textId="75B789D2" w:rsidR="000C6AC3" w:rsidRDefault="000C6AC3" w:rsidP="00963FFC">
      <w:pPr>
        <w:jc w:val="center"/>
        <w:rPr>
          <w:sz w:val="32"/>
          <w:szCs w:val="32"/>
        </w:rPr>
      </w:pPr>
    </w:p>
    <w:p w14:paraId="1D2F30D5" w14:textId="55A7D21E" w:rsidR="000C6AC3" w:rsidRDefault="000C6AC3" w:rsidP="00963FFC">
      <w:pPr>
        <w:jc w:val="center"/>
        <w:rPr>
          <w:sz w:val="32"/>
          <w:szCs w:val="32"/>
        </w:rPr>
      </w:pPr>
    </w:p>
    <w:p w14:paraId="2234B8B2" w14:textId="4DFFE1A0" w:rsidR="000C6AC3" w:rsidRDefault="000C6AC3" w:rsidP="00963FFC">
      <w:pPr>
        <w:jc w:val="center"/>
        <w:rPr>
          <w:sz w:val="32"/>
          <w:szCs w:val="32"/>
        </w:rPr>
      </w:pPr>
    </w:p>
    <w:p w14:paraId="6C7FA1E5" w14:textId="52DFAF7B" w:rsidR="000C6AC3" w:rsidRDefault="000C6AC3" w:rsidP="00963FFC">
      <w:pPr>
        <w:jc w:val="center"/>
        <w:rPr>
          <w:sz w:val="32"/>
          <w:szCs w:val="32"/>
        </w:rPr>
      </w:pPr>
    </w:p>
    <w:p w14:paraId="6A5BE64F" w14:textId="0D0F530C" w:rsidR="000C6AC3" w:rsidRDefault="000C6AC3" w:rsidP="00963FFC">
      <w:pPr>
        <w:jc w:val="center"/>
        <w:rPr>
          <w:sz w:val="32"/>
          <w:szCs w:val="32"/>
        </w:rPr>
      </w:pPr>
    </w:p>
    <w:p w14:paraId="1FF19D65" w14:textId="7C7C330B" w:rsidR="000C6AC3" w:rsidRDefault="000C6AC3" w:rsidP="00963FFC">
      <w:pPr>
        <w:jc w:val="center"/>
        <w:rPr>
          <w:sz w:val="32"/>
          <w:szCs w:val="32"/>
        </w:rPr>
      </w:pPr>
    </w:p>
    <w:p w14:paraId="71E76908" w14:textId="225B4725" w:rsidR="000C6AC3" w:rsidRDefault="000C6AC3" w:rsidP="00963FFC">
      <w:pPr>
        <w:jc w:val="center"/>
        <w:rPr>
          <w:sz w:val="32"/>
          <w:szCs w:val="32"/>
        </w:rPr>
      </w:pPr>
    </w:p>
    <w:p w14:paraId="167251F9" w14:textId="333DAEAF" w:rsidR="000C6AC3" w:rsidRDefault="000C6AC3" w:rsidP="00963FFC">
      <w:pPr>
        <w:jc w:val="center"/>
        <w:rPr>
          <w:sz w:val="32"/>
          <w:szCs w:val="32"/>
        </w:rPr>
      </w:pPr>
    </w:p>
    <w:p w14:paraId="606331F6" w14:textId="7E12C0EC" w:rsidR="000C6AC3" w:rsidRDefault="000C6AC3" w:rsidP="00963FFC">
      <w:pPr>
        <w:jc w:val="center"/>
        <w:rPr>
          <w:sz w:val="32"/>
          <w:szCs w:val="32"/>
        </w:rPr>
      </w:pPr>
    </w:p>
    <w:p w14:paraId="30800C1B" w14:textId="35938FB3" w:rsidR="000C6AC3" w:rsidRDefault="000C6AC3" w:rsidP="00963FFC">
      <w:pPr>
        <w:jc w:val="center"/>
        <w:rPr>
          <w:sz w:val="32"/>
          <w:szCs w:val="32"/>
        </w:rPr>
      </w:pPr>
    </w:p>
    <w:p w14:paraId="78FC8869" w14:textId="3670D66E" w:rsidR="000C6AC3" w:rsidRDefault="000C6AC3" w:rsidP="00963FFC">
      <w:pPr>
        <w:jc w:val="center"/>
        <w:rPr>
          <w:sz w:val="32"/>
          <w:szCs w:val="32"/>
        </w:rPr>
      </w:pPr>
    </w:p>
    <w:p w14:paraId="21DF0651" w14:textId="6CD939CD" w:rsidR="000C6AC3" w:rsidRDefault="000C6AC3" w:rsidP="00963FFC">
      <w:pPr>
        <w:jc w:val="center"/>
        <w:rPr>
          <w:sz w:val="32"/>
          <w:szCs w:val="32"/>
        </w:rPr>
      </w:pPr>
    </w:p>
    <w:p w14:paraId="648B7085" w14:textId="0A243851" w:rsidR="000C6AC3" w:rsidRDefault="000C6AC3" w:rsidP="00963FFC">
      <w:pPr>
        <w:jc w:val="center"/>
        <w:rPr>
          <w:sz w:val="32"/>
          <w:szCs w:val="32"/>
        </w:rPr>
      </w:pPr>
    </w:p>
    <w:p w14:paraId="1CFD093A" w14:textId="16861E52" w:rsidR="000C6AC3" w:rsidRDefault="000C6AC3" w:rsidP="00D65394">
      <w:pPr>
        <w:rPr>
          <w:sz w:val="32"/>
          <w:szCs w:val="32"/>
        </w:rPr>
      </w:pPr>
    </w:p>
    <w:p w14:paraId="02E3399C" w14:textId="6EDA96B3" w:rsidR="00EB0581" w:rsidRDefault="00EB0581" w:rsidP="00EB0581">
      <w:pPr>
        <w:rPr>
          <w:sz w:val="32"/>
          <w:szCs w:val="32"/>
        </w:rPr>
      </w:pPr>
    </w:p>
    <w:p w14:paraId="12DACA0A" w14:textId="780DA0A6" w:rsidR="00963FFC" w:rsidRPr="001D31CA" w:rsidRDefault="00963FFC" w:rsidP="001D31CA">
      <w:pPr>
        <w:pStyle w:val="Heading1"/>
        <w:numPr>
          <w:ilvl w:val="0"/>
          <w:numId w:val="43"/>
        </w:numPr>
      </w:pPr>
      <w:bookmarkStart w:id="1" w:name="_Toc528256765"/>
      <w:r w:rsidRPr="001D31CA">
        <w:t xml:space="preserve">Introduction to </w:t>
      </w:r>
      <w:r w:rsidR="000C6AC3" w:rsidRPr="001D31CA">
        <w:t>StoreFront Reference Architecture</w:t>
      </w:r>
      <w:bookmarkEnd w:id="1"/>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1D31CA" w:rsidRDefault="00F12064" w:rsidP="001D31CA">
      <w:pPr>
        <w:pStyle w:val="Heading1"/>
        <w:numPr>
          <w:ilvl w:val="0"/>
          <w:numId w:val="43"/>
        </w:numPr>
      </w:pPr>
      <w:bookmarkStart w:id="2" w:name="_Toc528256766"/>
      <w:r w:rsidRPr="001D31CA">
        <w:t>CyberSource Cartridge Overview</w:t>
      </w:r>
      <w:bookmarkEnd w:id="2"/>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r w:rsidRPr="000F018B">
        <w:rPr>
          <w:rFonts w:asciiTheme="minorHAnsi" w:hAnsiTheme="minorHAnsi"/>
          <w:b/>
          <w:color w:val="404040" w:themeColor="text1" w:themeTint="BF"/>
        </w:rPr>
        <w:t>int_cybersource</w:t>
      </w:r>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r w:rsidR="00CE559C" w:rsidRPr="000F018B">
        <w:rPr>
          <w:rFonts w:asciiTheme="minorHAnsi" w:hAnsiTheme="minorHAnsi"/>
          <w:b/>
          <w:color w:val="404040" w:themeColor="text1" w:themeTint="BF"/>
        </w:rPr>
        <w:t xml:space="preserve">int_cybersource_pipelines, </w:t>
      </w:r>
      <w:r w:rsidRPr="000F018B">
        <w:rPr>
          <w:rFonts w:asciiTheme="minorHAnsi" w:hAnsiTheme="minorHAnsi"/>
          <w:b/>
          <w:color w:val="404040" w:themeColor="text1" w:themeTint="BF"/>
        </w:rPr>
        <w:t>int_cybersource_controllers</w:t>
      </w:r>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r w:rsidR="00CE559C" w:rsidRPr="000F018B">
        <w:rPr>
          <w:rFonts w:asciiTheme="minorHAnsi" w:hAnsiTheme="minorHAnsi"/>
          <w:b/>
          <w:color w:val="404040" w:themeColor="text1" w:themeTint="BF"/>
        </w:rPr>
        <w:t>int_cybersource_sfra/ LINK_cybersource</w:t>
      </w:r>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int_cybersource,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LINK_cybersource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58D23803" w:rsidR="00B22CA5" w:rsidRDefault="00B22CA5">
      <w:pPr>
        <w:rPr>
          <w:color w:val="404040" w:themeColor="text1" w:themeTint="BF"/>
        </w:rPr>
      </w:pPr>
      <w:r>
        <w:rPr>
          <w:color w:val="404040" w:themeColor="text1" w:themeTint="BF"/>
        </w:rPr>
        <w:br w:type="page"/>
      </w:r>
    </w:p>
    <w:p w14:paraId="13BBB5F1" w14:textId="77777777" w:rsidR="00EB0581" w:rsidRDefault="00EB0581" w:rsidP="00EB0581">
      <w:pPr>
        <w:rPr>
          <w:color w:val="404040" w:themeColor="text1" w:themeTint="BF"/>
        </w:rPr>
      </w:pPr>
    </w:p>
    <w:p w14:paraId="7699D2C5" w14:textId="4C23B58B" w:rsidR="00547B44" w:rsidRPr="001D31CA" w:rsidRDefault="00F104FE" w:rsidP="00B22CA5">
      <w:pPr>
        <w:pStyle w:val="Heading1"/>
        <w:numPr>
          <w:ilvl w:val="0"/>
          <w:numId w:val="43"/>
        </w:numPr>
      </w:pPr>
      <w:bookmarkStart w:id="3" w:name="_Toc528256767"/>
      <w:r w:rsidRPr="001D31CA">
        <w:t>CyberSource SFRA Cartridge Architecture</w:t>
      </w:r>
      <w:bookmarkEnd w:id="3"/>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B22CA5" w:rsidRDefault="00826464" w:rsidP="00B22CA5">
      <w:pPr>
        <w:pStyle w:val="Heading1"/>
        <w:numPr>
          <w:ilvl w:val="0"/>
          <w:numId w:val="43"/>
        </w:numPr>
      </w:pPr>
      <w:bookmarkStart w:id="4" w:name="_Toc528256768"/>
      <w:r w:rsidRPr="00B22CA5">
        <w:lastRenderedPageBreak/>
        <w:t>Installation Guide</w:t>
      </w:r>
      <w:bookmarkEnd w:id="4"/>
    </w:p>
    <w:p w14:paraId="26688D36" w14:textId="7AEC1E89" w:rsidR="00DF130B" w:rsidRPr="00B22CA5" w:rsidRDefault="00DF130B" w:rsidP="00B22CA5">
      <w:pPr>
        <w:pStyle w:val="Heading1"/>
        <w:ind w:left="360"/>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B22CA5">
      <w:pPr>
        <w:pStyle w:val="Heading2"/>
        <w:numPr>
          <w:ilvl w:val="1"/>
          <w:numId w:val="43"/>
        </w:numPr>
      </w:pPr>
      <w:bookmarkStart w:id="5" w:name="_Toc528256769"/>
      <w:r w:rsidRPr="00EA6E27">
        <w:t>Workspace Preparation</w:t>
      </w:r>
      <w:bookmarkEnd w:id="5"/>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 xml:space="preserve">Out of the box, this cartridge (int_cybersource_sfra)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‘int_cybersource_sfra/package.json’ and modify the paths.base </w:t>
      </w:r>
      <w:r w:rsidR="00A97828">
        <w:rPr>
          <w:rFonts w:asciiTheme="minorHAnsi" w:hAnsiTheme="minorHAnsi"/>
          <w:color w:val="404040" w:themeColor="text1" w:themeTint="BF"/>
        </w:rPr>
        <w:t xml:space="preserve">value to point to your ‘app_storefront_base’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B22CA5">
      <w:pPr>
        <w:ind w:left="720"/>
        <w:rPr>
          <w:rFonts w:asciiTheme="minorHAnsi" w:hAnsiTheme="minorHAnsi"/>
          <w:color w:val="404040" w:themeColor="text1" w:themeTint="BF"/>
        </w:rPr>
      </w:pPr>
    </w:p>
    <w:p w14:paraId="066E9FC1" w14:textId="790452B8" w:rsidR="00A97828" w:rsidRDefault="00A97828" w:rsidP="00B22CA5">
      <w:pPr>
        <w:pStyle w:val="ListParagraph"/>
        <w:numPr>
          <w:ilvl w:val="0"/>
          <w:numId w:val="36"/>
        </w:numPr>
        <w:ind w:left="1440"/>
        <w:rPr>
          <w:rFonts w:asciiTheme="minorHAnsi" w:hAnsiTheme="minorHAnsi"/>
          <w:color w:val="404040" w:themeColor="text1" w:themeTint="BF"/>
        </w:rPr>
      </w:pPr>
      <w:r>
        <w:rPr>
          <w:rFonts w:asciiTheme="minorHAnsi" w:hAnsiTheme="minorHAnsi"/>
          <w:color w:val="404040" w:themeColor="text1" w:themeTint="BF"/>
        </w:rPr>
        <w:t>On your terminal, navigate to int_cybersource_sfra</w:t>
      </w:r>
    </w:p>
    <w:p w14:paraId="35E66058" w14:textId="08EB28A7" w:rsidR="00A97828" w:rsidRDefault="00A97828" w:rsidP="00B22CA5">
      <w:pPr>
        <w:pStyle w:val="ListParagraph"/>
        <w:numPr>
          <w:ilvl w:val="0"/>
          <w:numId w:val="36"/>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‘nvm install node’</w:t>
      </w:r>
    </w:p>
    <w:p w14:paraId="72CAE85F" w14:textId="57D637DE" w:rsidR="00A97828" w:rsidRDefault="00A97828" w:rsidP="00B22CA5">
      <w:pPr>
        <w:pStyle w:val="ListParagraph"/>
        <w:numPr>
          <w:ilvl w:val="0"/>
          <w:numId w:val="36"/>
        </w:numPr>
        <w:ind w:left="1440"/>
        <w:rPr>
          <w:rFonts w:asciiTheme="minorHAnsi" w:hAnsiTheme="minorHAnsi"/>
          <w:color w:val="404040" w:themeColor="text1" w:themeTint="BF"/>
        </w:rPr>
      </w:pPr>
      <w:r>
        <w:rPr>
          <w:rFonts w:asciiTheme="minorHAnsi" w:hAnsiTheme="minorHAnsi"/>
          <w:color w:val="404040" w:themeColor="text1" w:themeTint="BF"/>
        </w:rPr>
        <w:t>Run ‘npm install’ to install all of the local dependencies.</w:t>
      </w:r>
    </w:p>
    <w:p w14:paraId="502A160A" w14:textId="37F8C391" w:rsidR="00A97828" w:rsidRDefault="00A97828" w:rsidP="00B22CA5">
      <w:pPr>
        <w:pStyle w:val="ListParagraph"/>
        <w:numPr>
          <w:ilvl w:val="0"/>
          <w:numId w:val="36"/>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add the ‘Link_cybersource cartridge to your </w:t>
      </w:r>
      <w:r w:rsidR="000B39D7">
        <w:rPr>
          <w:rFonts w:asciiTheme="minorHAnsi" w:hAnsiTheme="minorHAnsi"/>
          <w:color w:val="404040" w:themeColor="text1" w:themeTint="BF"/>
        </w:rPr>
        <w:t>workspace.</w:t>
      </w:r>
    </w:p>
    <w:p w14:paraId="53E9510C" w14:textId="5286B929" w:rsidR="00A97828" w:rsidRDefault="00A97828" w:rsidP="00B22CA5">
      <w:pPr>
        <w:pStyle w:val="ListParagraph"/>
        <w:numPr>
          <w:ilvl w:val="0"/>
          <w:numId w:val="36"/>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B22CA5">
      <w:pPr>
        <w:pStyle w:val="ListParagraph"/>
        <w:numPr>
          <w:ilvl w:val="1"/>
          <w:numId w:val="36"/>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 xml:space="preserve">`dw.json` </w:t>
      </w:r>
      <w:r>
        <w:rPr>
          <w:rFonts w:asciiTheme="minorHAnsi" w:hAnsiTheme="minorHAnsi"/>
          <w:color w:val="404040" w:themeColor="text1" w:themeTint="BF"/>
        </w:rPr>
        <w:t>under the int_cybersource_sfra folder with contents</w:t>
      </w:r>
      <w:r w:rsidRPr="00A97828">
        <w:rPr>
          <w:rFonts w:asciiTheme="minorHAnsi" w:hAnsiTheme="minorHAnsi"/>
          <w:color w:val="404040" w:themeColor="text1" w:themeTint="BF"/>
        </w:rPr>
        <w:t>:</w:t>
      </w:r>
    </w:p>
    <w:p w14:paraId="12D35645"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50A1543B"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14:paraId="582939FE"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"yourlogin",</w:t>
      </w:r>
    </w:p>
    <w:p w14:paraId="40A2A7F4"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"yourpwd",</w:t>
      </w:r>
    </w:p>
    <w:p w14:paraId="3B121DF2" w14:textId="1C32E91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"version_to_upload_to",</w:t>
      </w:r>
    </w:p>
    <w:p w14:paraId="4660E4E9"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14:paraId="0E3AA3CD"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"LINK_cybersource",</w:t>
      </w:r>
    </w:p>
    <w:p w14:paraId="7AAAAB30"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"app_storefront_base",</w:t>
      </w:r>
    </w:p>
    <w:p w14:paraId="007647BA"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14:paraId="68245F15" w14:textId="54AA64A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14:paraId="128728D6" w14:textId="27E3B8A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662FB223" w14:textId="40F4615F" w:rsidR="00A97828" w:rsidRDefault="00A97828" w:rsidP="00B22CA5">
      <w:pPr>
        <w:ind w:left="2160"/>
        <w:rPr>
          <w:rFonts w:asciiTheme="minorHAnsi" w:hAnsiTheme="minorHAnsi"/>
          <w:color w:val="2F5496" w:themeColor="accent1" w:themeShade="BF"/>
        </w:rPr>
      </w:pPr>
    </w:p>
    <w:p w14:paraId="7A48584B" w14:textId="76A4499E"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B22CA5">
      <w:pPr>
        <w:pStyle w:val="ListParagraph"/>
        <w:numPr>
          <w:ilvl w:val="1"/>
          <w:numId w:val="36"/>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 xml:space="preserve">`npm run uploadCartridge` command </w:t>
      </w:r>
      <w:r>
        <w:rPr>
          <w:rFonts w:asciiTheme="minorHAnsi" w:hAnsiTheme="minorHAnsi"/>
          <w:color w:val="404040" w:themeColor="text1" w:themeTint="BF"/>
        </w:rPr>
        <w:t>to upload cartridges defined in dw.json to the server defined in dw.json.</w:t>
      </w:r>
    </w:p>
    <w:p w14:paraId="1F6378BF" w14:textId="008E1114" w:rsidR="00C666C8" w:rsidRDefault="00C666C8" w:rsidP="00B22CA5">
      <w:pPr>
        <w:pStyle w:val="ListParagraph"/>
        <w:numPr>
          <w:ilvl w:val="0"/>
          <w:numId w:val="36"/>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 xml:space="preserve">`npm run compile:scss` </w:t>
      </w:r>
      <w:r>
        <w:rPr>
          <w:rFonts w:asciiTheme="minorHAnsi" w:hAnsiTheme="minorHAnsi"/>
          <w:color w:val="404040" w:themeColor="text1" w:themeTint="BF"/>
        </w:rPr>
        <w:t>to c</w:t>
      </w:r>
      <w:r w:rsidRPr="00C666C8">
        <w:rPr>
          <w:rFonts w:asciiTheme="minorHAnsi" w:hAnsiTheme="minorHAnsi"/>
          <w:color w:val="404040" w:themeColor="text1" w:themeTint="BF"/>
        </w:rPr>
        <w:t>ompiles all .scss files into CSS.</w:t>
      </w:r>
    </w:p>
    <w:p w14:paraId="6531D300" w14:textId="5A47778B" w:rsidR="00C666C8" w:rsidRDefault="00C666C8" w:rsidP="00B22CA5">
      <w:pPr>
        <w:pStyle w:val="ListParagraph"/>
        <w:numPr>
          <w:ilvl w:val="0"/>
          <w:numId w:val="36"/>
        </w:numPr>
        <w:ind w:left="1440"/>
        <w:rPr>
          <w:rFonts w:asciiTheme="minorHAnsi" w:hAnsiTheme="minorHAnsi"/>
          <w:color w:val="404040" w:themeColor="text1" w:themeTint="BF"/>
        </w:rPr>
      </w:pPr>
      <w:r w:rsidRPr="00C666C8">
        <w:rPr>
          <w:rFonts w:asciiTheme="minorHAnsi" w:hAnsiTheme="minorHAnsi"/>
          <w:color w:val="404040" w:themeColor="text1" w:themeTint="BF"/>
        </w:rPr>
        <w:t>Run `npm run compile:js` - Compiles all .js files and aggregates them.</w:t>
      </w:r>
    </w:p>
    <w:p w14:paraId="2D4A1726" w14:textId="52AE2127" w:rsidR="000B39D7" w:rsidRDefault="000B39D7" w:rsidP="00B22CA5">
      <w:pPr>
        <w:pStyle w:val="ListParagraph"/>
        <w:numPr>
          <w:ilvl w:val="0"/>
          <w:numId w:val="36"/>
        </w:numPr>
        <w:ind w:left="1440"/>
        <w:rPr>
          <w:rFonts w:asciiTheme="minorHAnsi" w:hAnsiTheme="minorHAnsi"/>
          <w:color w:val="404040" w:themeColor="text1" w:themeTint="BF"/>
        </w:rPr>
      </w:pPr>
      <w:r>
        <w:rPr>
          <w:rFonts w:asciiTheme="minorHAnsi" w:hAnsiTheme="minorHAnsi"/>
          <w:color w:val="404040" w:themeColor="text1" w:themeTint="BF"/>
        </w:rPr>
        <w:t>If using Eclipse, refresh your project contents, as new JS and css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B22CA5">
      <w:pPr>
        <w:ind w:left="720"/>
        <w:rPr>
          <w:rFonts w:asciiTheme="minorHAnsi" w:hAnsiTheme="minorHAnsi"/>
          <w:color w:val="404040" w:themeColor="text1" w:themeTint="BF"/>
        </w:rPr>
      </w:pPr>
    </w:p>
    <w:p w14:paraId="4E88017E" w14:textId="77777777" w:rsidR="00D41507" w:rsidRPr="00D41507" w:rsidRDefault="00D41507" w:rsidP="00B22CA5">
      <w:pPr>
        <w:ind w:left="720"/>
        <w:rPr>
          <w:rFonts w:asciiTheme="minorHAnsi" w:hAnsiTheme="minorHAnsi"/>
          <w:color w:val="404040" w:themeColor="text1" w:themeTint="BF"/>
        </w:rPr>
      </w:pPr>
    </w:p>
    <w:p w14:paraId="051332F9" w14:textId="14268294"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npm install, try setting your node version to 8.11.3 and go back to step 3.</w:t>
      </w:r>
    </w:p>
    <w:p w14:paraId="2D9CDC23" w14:textId="4DA1BA9B"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B22CA5">
      <w:pPr>
        <w:ind w:left="720" w:firstLine="720"/>
        <w:rPr>
          <w:rFonts w:asciiTheme="minorHAnsi" w:hAnsiTheme="minorHAnsi"/>
          <w:color w:val="404040" w:themeColor="text1" w:themeTint="BF"/>
        </w:rPr>
      </w:pPr>
    </w:p>
    <w:p w14:paraId="05782DD9" w14:textId="58C64846"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B22CA5">
      <w:pPr>
        <w:pStyle w:val="Heading1"/>
        <w:numPr>
          <w:ilvl w:val="0"/>
          <w:numId w:val="43"/>
        </w:numPr>
        <w:rPr>
          <w:color w:val="262626" w:themeColor="text1" w:themeTint="D9"/>
        </w:rPr>
      </w:pPr>
      <w:bookmarkStart w:id="6" w:name="_Toc528256770"/>
      <w:r w:rsidRPr="00B22CA5">
        <w:lastRenderedPageBreak/>
        <w:t>Cartridge Installation</w:t>
      </w:r>
      <w:bookmarkEnd w:id="6"/>
    </w:p>
    <w:p w14:paraId="7C4AB916" w14:textId="77777777" w:rsidR="00826464" w:rsidRPr="00DF130B" w:rsidRDefault="00826464" w:rsidP="00826464">
      <w:pPr>
        <w:jc w:val="center"/>
        <w:rPr>
          <w:color w:val="404040" w:themeColor="text1" w:themeTint="BF"/>
          <w:sz w:val="36"/>
          <w:szCs w:val="36"/>
        </w:rPr>
      </w:pPr>
    </w:p>
    <w:p w14:paraId="59AB6A7D" w14:textId="2B6516A5"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After following the above steps, the 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to configure your server for the LINK_cybersource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6A7225">
      <w:pPr>
        <w:pStyle w:val="ListParagraph"/>
        <w:numPr>
          <w:ilvl w:val="0"/>
          <w:numId w:val="27"/>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&gt;  Sites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EA6E27">
      <w:pPr>
        <w:pStyle w:val="ListParagraph"/>
        <w:numPr>
          <w:ilvl w:val="0"/>
          <w:numId w:val="27"/>
        </w:numPr>
        <w:rPr>
          <w:color w:val="404040" w:themeColor="text1" w:themeTint="BF"/>
        </w:rPr>
      </w:pPr>
      <w:r w:rsidRPr="00FE3DF6">
        <w:rPr>
          <w:rFonts w:asciiTheme="minorHAnsi" w:hAnsiTheme="minorHAnsi"/>
          <w:color w:val="404040" w:themeColor="text1" w:themeTint="BF"/>
        </w:rPr>
        <w:t>Add ‘LINK_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 to the left side of the cartridge path, before ‘app_storefront_base’</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Administration &gt;  Site Development &gt;  Import &amp; Export</w:t>
      </w:r>
      <w:r>
        <w:rPr>
          <w:rFonts w:asciiTheme="minorHAnsi" w:hAnsiTheme="minorHAnsi"/>
          <w:color w:val="404040" w:themeColor="text1" w:themeTint="BF"/>
        </w:rPr>
        <w:t>’.</w:t>
      </w:r>
    </w:p>
    <w:p w14:paraId="56ACE2F7" w14:textId="418BFD6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1464A9">
      <w:pPr>
        <w:pStyle w:val="ListParagraph"/>
        <w:numPr>
          <w:ilvl w:val="1"/>
          <w:numId w:val="27"/>
        </w:numPr>
        <w:rPr>
          <w:rFonts w:asciiTheme="minorHAnsi" w:hAnsiTheme="minorHAnsi"/>
          <w:color w:val="2F5496" w:themeColor="accent1" w:themeShade="BF"/>
        </w:rPr>
      </w:pPr>
      <w:r>
        <w:rPr>
          <w:rFonts w:asciiTheme="minorHAnsi" w:hAnsiTheme="minorHAnsi"/>
          <w:color w:val="404040" w:themeColor="text1" w:themeTint="BF"/>
        </w:rPr>
        <w:t xml:space="preserve"> </w:t>
      </w:r>
      <w:r w:rsidRPr="001464A9">
        <w:rPr>
          <w:rFonts w:asciiTheme="minorHAnsi" w:hAnsiTheme="minorHAnsi"/>
          <w:color w:val="2F5496" w:themeColor="accent1" w:themeShade="BF"/>
        </w:rPr>
        <w:t>int_cybersource_sfra/configuration/CS SFRA Metadata v18_1.xml</w:t>
      </w:r>
    </w:p>
    <w:p w14:paraId="4BE2FBFA" w14:textId="32FE8AFC"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Administration &gt;  Operations &gt;  Import &amp; Export</w:t>
      </w:r>
      <w:r>
        <w:rPr>
          <w:rFonts w:asciiTheme="minorHAnsi" w:hAnsiTheme="minorHAnsi"/>
          <w:color w:val="404040" w:themeColor="text1" w:themeTint="BF"/>
        </w:rPr>
        <w:t>’</w:t>
      </w:r>
    </w:p>
    <w:p w14:paraId="6A26B425" w14:textId="2B59FF17"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1464A9">
      <w:pPr>
        <w:pStyle w:val="ListParagraph"/>
        <w:numPr>
          <w:ilvl w:val="1"/>
          <w:numId w:val="27"/>
        </w:numPr>
        <w:rPr>
          <w:rFonts w:asciiTheme="minorHAnsi" w:hAnsiTheme="minorHAnsi"/>
          <w:color w:val="2F5496" w:themeColor="accent1" w:themeShade="BF"/>
        </w:rPr>
      </w:pPr>
      <w:r w:rsidRPr="001464A9">
        <w:rPr>
          <w:rFonts w:asciiTheme="minorHAnsi" w:hAnsiTheme="minorHAnsi"/>
          <w:color w:val="2F5496" w:themeColor="accent1" w:themeShade="BF"/>
        </w:rPr>
        <w:t>int_cybersource_sfra/configuration/CS SFRA Services v18_1.xml</w:t>
      </w:r>
    </w:p>
    <w:p w14:paraId="71E12BB1" w14:textId="7C3BB044"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D36F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1464A9">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D41507">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EA6E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w:t>
      </w:r>
      <w:r w:rsidRPr="00A31550">
        <w:rPr>
          <w:rFonts w:asciiTheme="minorHAnsi" w:hAnsiTheme="minorHAnsi"/>
          <w:color w:val="404040" w:themeColor="text1" w:themeTint="BF"/>
        </w:rPr>
        <w:lastRenderedPageBreak/>
        <w:t xml:space="preserve">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5BAF10ED" w:rsidR="00B22CA5" w:rsidRDefault="00B22CA5">
      <w:pPr>
        <w:rPr>
          <w:rFonts w:asciiTheme="minorHAnsi" w:hAnsiTheme="minorHAnsi"/>
          <w:color w:val="404040" w:themeColor="text1" w:themeTint="BF"/>
        </w:rPr>
      </w:pPr>
      <w:r>
        <w:rPr>
          <w:rFonts w:asciiTheme="minorHAnsi" w:hAnsiTheme="minorHAnsi"/>
          <w:color w:val="404040" w:themeColor="text1" w:themeTint="BF"/>
        </w:rPr>
        <w:br w:type="page"/>
      </w:r>
    </w:p>
    <w:p w14:paraId="6629416B" w14:textId="77777777" w:rsidR="00A31550" w:rsidRPr="00A31550" w:rsidRDefault="00A31550" w:rsidP="00A31550">
      <w:pPr>
        <w:rPr>
          <w:rFonts w:asciiTheme="minorHAnsi" w:hAnsiTheme="minorHAnsi"/>
          <w:color w:val="404040" w:themeColor="text1" w:themeTint="BF"/>
        </w:rPr>
      </w:pPr>
    </w:p>
    <w:p w14:paraId="5D1F39FA" w14:textId="6E83914E" w:rsidR="00CA72F1" w:rsidRPr="00B22CA5" w:rsidRDefault="00477781" w:rsidP="00B22CA5">
      <w:pPr>
        <w:pStyle w:val="Heading1"/>
        <w:numPr>
          <w:ilvl w:val="0"/>
          <w:numId w:val="43"/>
        </w:numPr>
      </w:pPr>
      <w:bookmarkStart w:id="7" w:name="_Toc528256771"/>
      <w:r w:rsidRPr="00B22CA5">
        <w:t>Tax Calculation</w:t>
      </w:r>
      <w:bookmarkEnd w:id="7"/>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The CyberSource tax service is integrated via the SFRA OOTB dw.order.calculateTax hook.  The calculateTax hook is registered in the hooks.json file with script ./cartridge/scripts/hooks/tax/taxes.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us object, preventing the OOTB c</w:t>
      </w:r>
      <w:r w:rsidRPr="00DF130B">
        <w:rPr>
          <w:rFonts w:asciiTheme="minorHAnsi" w:hAnsiTheme="minorHAnsi"/>
          <w:color w:val="404040" w:themeColor="text1" w:themeTint="BF"/>
        </w:rPr>
        <w:t>alculateTax hook from being called, thus taking tax calculation priority away from the storefront cartridge.  If you intend to use CyberSource as your tax calculator, you should not have another cartridge ahead of this one, that also calls the 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 hook.  In the case of an error, or unresponsive endpoint, the OOTB calculateTax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taxCode field on all products in your catalog.</w:t>
      </w:r>
    </w:p>
    <w:p w14:paraId="7F404343" w14:textId="622CF942" w:rsidR="00247F33" w:rsidRPr="00DF130B" w:rsidRDefault="0096491C" w:rsidP="00247F33">
      <w:pPr>
        <w:pStyle w:val="ListParagraph"/>
        <w:numPr>
          <w:ilvl w:val="0"/>
          <w:numId w:val="9"/>
        </w:numPr>
        <w:rPr>
          <w:rFonts w:asciiTheme="minorHAnsi" w:hAnsiTheme="minorHAnsi"/>
          <w:color w:val="404040" w:themeColor="text1" w:themeTint="BF"/>
        </w:rPr>
      </w:pPr>
      <w:r>
        <w:rPr>
          <w:rFonts w:asciiTheme="minorHAnsi" w:hAnsiTheme="minorHAnsi"/>
          <w:color w:val="404040" w:themeColor="text1" w:themeTint="BF"/>
        </w:rPr>
        <w:t>Optiponally,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StateCode</w:t>
            </w:r>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ZipCode</w:t>
            </w:r>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StateCode</w:t>
            </w:r>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lastRenderedPageBreak/>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ZipCode</w:t>
            </w:r>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119DD288" w:rsidR="00B22CA5" w:rsidRDefault="00B22CA5" w:rsidP="00E05EEE">
      <w:pPr>
        <w:rPr>
          <w:color w:val="1F3864" w:themeColor="accent1" w:themeShade="80"/>
        </w:rPr>
      </w:pPr>
    </w:p>
    <w:p w14:paraId="6EA26A58" w14:textId="77777777" w:rsidR="00B22CA5" w:rsidRDefault="00B22CA5">
      <w:pPr>
        <w:rPr>
          <w:color w:val="1F3864" w:themeColor="accent1" w:themeShade="80"/>
        </w:rPr>
      </w:pPr>
      <w:r>
        <w:rPr>
          <w:color w:val="1F3864" w:themeColor="accent1" w:themeShade="80"/>
        </w:rPr>
        <w:br w:type="page"/>
      </w: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B22CA5">
      <w:pPr>
        <w:pStyle w:val="Heading1"/>
        <w:numPr>
          <w:ilvl w:val="0"/>
          <w:numId w:val="43"/>
        </w:numPr>
      </w:pPr>
      <w:bookmarkStart w:id="8" w:name="_Toc528256772"/>
      <w:r w:rsidRPr="00B22CA5">
        <w:t>Credit Card Authorization</w:t>
      </w:r>
      <w:bookmarkEnd w:id="8"/>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Auth service is integrated via the SFRA OOTB dynamically generated app.payment.processor.cybersource_credit hook.  The cybersource_credit hook is registered in the hooks.json file with script ./cartridge/scripts/hooks/payment/processor/cybersource_credit.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Update shipping address if a suggestion was returned and the ‘CS DAV Update Shipping Address With DAV Suggestion’ site preference is enabled.</w:t>
      </w:r>
    </w:p>
    <w:p w14:paraId="44E86AA9"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Validate authorization reason code and set corresponding values, based on Auth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D042DA">
      <w:pPr>
        <w:pStyle w:val="ps1steps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lastRenderedPageBreak/>
        <w:t>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14:paraId="19DA8D12"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D042DA">
      <w:pPr>
        <w:pStyle w:val="ps2steps11"/>
        <w:numPr>
          <w:ilvl w:val="0"/>
          <w:numId w:val="6"/>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r w:rsidR="00CA72F1" w:rsidRPr="00DF130B">
        <w:rPr>
          <w:rFonts w:asciiTheme="minorHAnsi" w:hAnsiTheme="minorHAnsi"/>
          <w:color w:val="404040" w:themeColor="text1" w:themeTint="BF"/>
        </w:rPr>
        <w:t>int_cybersource_sfra/configuration/</w:t>
      </w:r>
      <w:r w:rsidRPr="00DF130B">
        <w:rPr>
          <w:rFonts w:asciiTheme="minorHAnsi" w:hAnsiTheme="minorHAnsi"/>
          <w:color w:val="404040" w:themeColor="text1" w:themeTint="BF"/>
        </w:rPr>
        <w:t>CS SFRA PaymentMethods v18_1.xml’ into your sandbox.</w:t>
      </w:r>
    </w:p>
    <w:p w14:paraId="7F5C1846" w14:textId="53DB651B"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Under 'Merchant Tools &gt;  Ordering &gt;  Payment Methods' Make sure the 'CREDIT_CARD' payment method is enabled and configured to use the CYBERSOURCE_CREDIT payment processor.</w:t>
      </w:r>
    </w:p>
    <w:p w14:paraId="22C2A1E4" w14:textId="04236B36"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B22CA5">
      <w:pPr>
        <w:pStyle w:val="Heading1"/>
        <w:numPr>
          <w:ilvl w:val="0"/>
          <w:numId w:val="43"/>
        </w:numPr>
        <w:rPr>
          <w:sz w:val="36"/>
          <w:szCs w:val="36"/>
        </w:rPr>
      </w:pPr>
      <w:r w:rsidRPr="0076501C">
        <w:rPr>
          <w:color w:val="404040" w:themeColor="text1" w:themeTint="BF"/>
          <w:sz w:val="36"/>
          <w:szCs w:val="36"/>
        </w:rPr>
        <w:br w:type="page"/>
      </w:r>
      <w:bookmarkStart w:id="9" w:name="_Toc528256773"/>
      <w:r w:rsidR="005560F6" w:rsidRPr="00B22CA5">
        <w:lastRenderedPageBreak/>
        <w:t>Delivery Address Verification</w:t>
      </w:r>
      <w:bookmarkEnd w:id="9"/>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Update Shipping Address With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On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B22CA5">
      <w:pPr>
        <w:pStyle w:val="Heading1"/>
        <w:numPr>
          <w:ilvl w:val="0"/>
          <w:numId w:val="43"/>
        </w:numPr>
        <w:rPr>
          <w:sz w:val="40"/>
          <w:szCs w:val="40"/>
        </w:rPr>
      </w:pPr>
      <w:r w:rsidRPr="00DF130B">
        <w:rPr>
          <w:rFonts w:asciiTheme="minorHAnsi" w:hAnsiTheme="minorHAnsi"/>
          <w:color w:val="404040" w:themeColor="text1" w:themeTint="BF"/>
        </w:rPr>
        <w:br w:type="page"/>
      </w:r>
      <w:bookmarkStart w:id="10" w:name="_Toc528256774"/>
      <w:r w:rsidR="00B23075" w:rsidRPr="00B22CA5">
        <w:lastRenderedPageBreak/>
        <w:t>Address Verification Service (AVS)</w:t>
      </w:r>
      <w:bookmarkEnd w:id="10"/>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Pr="00B22CA5" w:rsidRDefault="00B23075" w:rsidP="00B22CA5">
      <w:pPr>
        <w:pStyle w:val="Heading1"/>
        <w:numPr>
          <w:ilvl w:val="0"/>
          <w:numId w:val="43"/>
        </w:numPr>
      </w:pPr>
      <w:bookmarkStart w:id="11" w:name="_Toc528256775"/>
      <w:r w:rsidRPr="00B22CA5">
        <w:lastRenderedPageBreak/>
        <w:t>Device Fingerprint</w:t>
      </w:r>
      <w:bookmarkEnd w:id="11"/>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htmlhead.isml template.  An include in the &lt;head&gt; of every page calls the CYBDeviceFingerprint-GetFingerprint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milliseconds.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ThreatMetix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ThreatMetrix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Time To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664F09C1" w:rsidR="005560F6" w:rsidRPr="00B22CA5" w:rsidRDefault="00EA7D7F" w:rsidP="00B22CA5">
      <w:pPr>
        <w:pStyle w:val="Heading1"/>
        <w:numPr>
          <w:ilvl w:val="0"/>
          <w:numId w:val="43"/>
        </w:numPr>
      </w:pPr>
      <w:bookmarkStart w:id="12" w:name="_Toc528256776"/>
      <w:r w:rsidRPr="00B22CA5">
        <w:lastRenderedPageBreak/>
        <w:t>Decision Manager</w:t>
      </w:r>
      <w:bookmarkEnd w:id="12"/>
      <w:r w:rsidRPr="00B22CA5">
        <w:t xml:space="preserve"> </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custom.CybersourceFraudDecision”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"app.fraud.detection" with script './cartridge/scripts/hooks/fraudDetection'.  The fraudDetection script reads the stored value in the Cybersourc</w:t>
      </w:r>
      <w:r w:rsidR="006C38C2" w:rsidRPr="00DF130B">
        <w:rPr>
          <w:rFonts w:asciiTheme="minorHAnsi" w:hAnsiTheme="minorHAnsi"/>
          <w:color w:val="404040" w:themeColor="text1" w:themeTint="BF"/>
        </w:rPr>
        <w:t>eFraudDecision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B22CA5">
      <w:pPr>
        <w:pStyle w:val="Heading1"/>
        <w:numPr>
          <w:ilvl w:val="0"/>
          <w:numId w:val="43"/>
        </w:numPr>
        <w:rPr>
          <w:sz w:val="40"/>
          <w:szCs w:val="40"/>
        </w:rPr>
      </w:pPr>
      <w:bookmarkStart w:id="13" w:name="_Toc528256777"/>
      <w:r w:rsidRPr="00B22CA5">
        <w:lastRenderedPageBreak/>
        <w:t>Decision Manager Order Update Job</w:t>
      </w:r>
      <w:bookmarkEnd w:id="13"/>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eed this job.  If your OMS 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Import &amp; Export’</w:t>
      </w:r>
    </w:p>
    <w:p w14:paraId="3238AAAD" w14:textId="2810C320"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Import the file int_sybersource_sfra/configuration/CS SFRA ScheduledJobs v18_1.xml</w:t>
      </w:r>
    </w:p>
    <w:p w14:paraId="261A751F" w14:textId="4BC5C1D5"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on the ‘UpdateOrderStatus’ Step.</w:t>
      </w:r>
    </w:p>
    <w:p w14:paraId="63E9D72A" w14:textId="1DB567DE"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5ED490BF"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Configuration</w:t>
      </w:r>
    </w:p>
    <w:p w14:paraId="1BC1C675" w14:textId="77777777" w:rsidR="00EF190B" w:rsidRPr="004312A0" w:rsidRDefault="00EF190B" w:rsidP="00EF190B">
      <w:pPr>
        <w:rPr>
          <w:color w:val="404040" w:themeColor="text1" w:themeTint="BF"/>
          <w:sz w:val="32"/>
          <w:szCs w:val="32"/>
          <w:u w:val="single"/>
        </w:rPr>
      </w:pP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r w:rsidRPr="00B62D14">
        <w:rPr>
          <w:color w:val="404040" w:themeColor="text1" w:themeTint="BF"/>
        </w:rPr>
        <w:t>UpdateOrderStatus</w:t>
      </w:r>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MerchantId</w:t>
            </w:r>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77777777" w:rsidR="00EF190B" w:rsidRPr="00DF130B" w:rsidRDefault="00EF190B" w:rsidP="00EF190B">
      <w:pPr>
        <w:rPr>
          <w:rFonts w:asciiTheme="minorHAnsi" w:hAnsiTheme="minorHAnsi"/>
          <w:color w:val="404040" w:themeColor="text1" w:themeTint="BF"/>
          <w:sz w:val="36"/>
          <w:szCs w:val="36"/>
        </w:rPr>
      </w:pPr>
    </w:p>
    <w:p w14:paraId="0FEDB676" w14:textId="5C17BB28" w:rsidR="00EA7D7F" w:rsidRPr="00DF130B"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If you have not integrated Secure Acceptance, you can safely delete the ‘CyberSource: SecureAcceptance Merchant Post’ Job.</w:t>
      </w:r>
    </w:p>
    <w:p w14:paraId="1573DF46" w14:textId="19494FEE" w:rsidR="002D2FB6" w:rsidRDefault="002D2FB6" w:rsidP="005560F6">
      <w:pPr>
        <w:rPr>
          <w:color w:val="404040" w:themeColor="text1" w:themeTint="BF"/>
        </w:rPr>
      </w:pPr>
    </w:p>
    <w:p w14:paraId="2C8C2C96" w14:textId="18974924" w:rsidR="002D2FB6" w:rsidRDefault="002D2FB6" w:rsidP="005560F6">
      <w:pPr>
        <w:rPr>
          <w:color w:val="404040" w:themeColor="text1" w:themeTint="BF"/>
        </w:rPr>
      </w:pPr>
    </w:p>
    <w:p w14:paraId="2BBEBA3F" w14:textId="6604DE87" w:rsidR="005560F6" w:rsidRDefault="002D2FB6" w:rsidP="00B22CA5">
      <w:pPr>
        <w:pStyle w:val="Heading1"/>
        <w:numPr>
          <w:ilvl w:val="0"/>
          <w:numId w:val="43"/>
        </w:numPr>
        <w:rPr>
          <w:sz w:val="40"/>
          <w:szCs w:val="40"/>
        </w:rPr>
      </w:pPr>
      <w:r>
        <w:rPr>
          <w:color w:val="404040" w:themeColor="text1" w:themeTint="BF"/>
        </w:rPr>
        <w:br w:type="page"/>
      </w:r>
      <w:bookmarkStart w:id="14" w:name="_Toc528256778"/>
      <w:r w:rsidR="005560F6" w:rsidRPr="00B22CA5">
        <w:lastRenderedPageBreak/>
        <w:t>Payment Tokenization</w:t>
      </w:r>
      <w:bookmarkEnd w:id="14"/>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‘CheckoutServices-</w:t>
      </w:r>
      <w:r w:rsidRPr="00DF130B">
        <w:rPr>
          <w:rFonts w:asciiTheme="minorHAnsi" w:hAnsiTheme="minorHAnsi"/>
        </w:rPr>
        <w:t xml:space="preserve"> </w:t>
      </w:r>
      <w:r w:rsidRPr="00DF130B">
        <w:rPr>
          <w:rFonts w:asciiTheme="minorHAnsi" w:hAnsiTheme="minorHAnsi"/>
          <w:color w:val="404040" w:themeColor="text1" w:themeTint="BF"/>
        </w:rPr>
        <w:t xml:space="preserve">PlaceOrder’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‘PaymentInstruments-SavePayment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‘PaymentInstruments-DeletePayment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5BBB848C" w14:textId="6F78829C" w:rsidR="003E680D" w:rsidRDefault="003E680D" w:rsidP="003E680D">
      <w:pPr>
        <w:rPr>
          <w:color w:val="2F5496" w:themeColor="accent1" w:themeShade="BF"/>
          <w:sz w:val="40"/>
          <w:szCs w:val="40"/>
        </w:rPr>
      </w:pPr>
    </w:p>
    <w:p w14:paraId="05C922A8" w14:textId="489410D1" w:rsidR="001865ED" w:rsidRDefault="001865ED" w:rsidP="003E680D">
      <w:pPr>
        <w:rPr>
          <w:color w:val="2F5496" w:themeColor="accent1" w:themeShade="BF"/>
          <w:sz w:val="40"/>
          <w:szCs w:val="40"/>
        </w:rPr>
      </w:pPr>
      <w:r>
        <w:rPr>
          <w:color w:val="2F5496" w:themeColor="accent1" w:themeShade="BF"/>
          <w:sz w:val="40"/>
          <w:szCs w:val="40"/>
        </w:rPr>
        <w:br w:type="page"/>
      </w:r>
    </w:p>
    <w:p w14:paraId="52BED298" w14:textId="33141F93" w:rsidR="003E680D" w:rsidRPr="00B22CA5" w:rsidRDefault="003E680D" w:rsidP="00B22CA5">
      <w:pPr>
        <w:pStyle w:val="Heading1"/>
        <w:numPr>
          <w:ilvl w:val="0"/>
          <w:numId w:val="43"/>
        </w:numPr>
      </w:pPr>
      <w:bookmarkStart w:id="15" w:name="_Toc528256779"/>
      <w:r w:rsidRPr="00B22CA5">
        <w:lastRenderedPageBreak/>
        <w:t>Apple Pay</w:t>
      </w:r>
      <w:bookmarkEnd w:id="15"/>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r w:rsidRPr="003E680D">
        <w:rPr>
          <w:rStyle w:val="spellingerror"/>
          <w:rFonts w:ascii="Calibri" w:hAnsi="Calibri" w:cs="Arial"/>
          <w:color w:val="404040" w:themeColor="text1" w:themeTint="BF"/>
        </w:rPr>
        <w:t>dw.extensions</w:t>
      </w:r>
      <w:r w:rsidRPr="003E680D">
        <w:rPr>
          <w:rStyle w:val="normaltextrun"/>
          <w:rFonts w:ascii="Calibri" w:hAnsi="Calibri" w:cs="Arial"/>
          <w:color w:val="404040" w:themeColor="text1" w:themeTint="BF"/>
        </w:rPr>
        <w:t>.applepay.paymentAuthorized.authorizeOrderPayment”.  The apple pay </w:t>
      </w:r>
      <w:r w:rsidRPr="003E680D">
        <w:rPr>
          <w:rStyle w:val="spellingerror"/>
          <w:rFonts w:ascii="Calibri" w:hAnsi="Calibri" w:cs="Arial"/>
          <w:color w:val="404040" w:themeColor="text1" w:themeTint="BF"/>
        </w:rPr>
        <w:t>authorizeOrderPayment</w:t>
      </w:r>
      <w:r w:rsidRPr="003E680D">
        <w:rPr>
          <w:rStyle w:val="normaltextrun"/>
          <w:rFonts w:ascii="Calibri" w:hAnsi="Calibri" w:cs="Arial"/>
          <w:color w:val="404040" w:themeColor="text1" w:themeTint="BF"/>
        </w:rPr>
        <w:t> hook is registered in the </w:t>
      </w:r>
      <w:r w:rsidRPr="003E680D">
        <w:rPr>
          <w:rStyle w:val="spellingerror"/>
          <w:rFonts w:ascii="Calibri" w:hAnsi="Calibri" w:cs="Arial"/>
          <w:color w:val="404040" w:themeColor="text1" w:themeTint="BF"/>
        </w:rPr>
        <w:t>hooks.json</w:t>
      </w:r>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r w:rsidRPr="003E680D">
        <w:rPr>
          <w:rStyle w:val="spellingerror"/>
          <w:rFonts w:ascii="Calibri" w:hAnsi="Calibri" w:cs="Arial"/>
          <w:color w:val="404040" w:themeColor="text1" w:themeTint="BF"/>
        </w:rPr>
        <w:t>applepay</w:t>
      </w:r>
      <w:r w:rsidRPr="003E680D">
        <w:rPr>
          <w:rStyle w:val="normaltextrun"/>
          <w:rFonts w:ascii="Calibri" w:hAnsi="Calibri" w:cs="Arial"/>
          <w:color w:val="404040" w:themeColor="text1" w:themeTint="BF"/>
        </w:rPr>
        <w:t>/</w:t>
      </w:r>
      <w:r w:rsidRPr="003E680D">
        <w:rPr>
          <w:rStyle w:val="spellingerror"/>
          <w:rFonts w:ascii="Calibri" w:hAnsi="Calibri" w:cs="Arial"/>
          <w:color w:val="404040" w:themeColor="text1" w:themeTint="BF"/>
        </w:rPr>
        <w:t>applePayAuth</w:t>
      </w:r>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r w:rsidRPr="003E680D">
        <w:rPr>
          <w:rStyle w:val="spellingerror"/>
          <w:rFonts w:ascii="Calibri" w:hAnsi="Calibri" w:cs="Arial"/>
          <w:color w:val="404040" w:themeColor="text1" w:themeTint="BF"/>
        </w:rPr>
        <w:t>authorizeOrderPayment</w:t>
      </w:r>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3E680D">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3E680D">
      <w:pPr>
        <w:numPr>
          <w:ilvl w:val="0"/>
          <w:numId w:val="15"/>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3E680D">
      <w:pPr>
        <w:numPr>
          <w:ilvl w:val="0"/>
          <w:numId w:val="16"/>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3E680D">
      <w:pPr>
        <w:numPr>
          <w:ilvl w:val="0"/>
          <w:numId w:val="17"/>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3E680D">
      <w:pPr>
        <w:numPr>
          <w:ilvl w:val="0"/>
          <w:numId w:val="18"/>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3E680D">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3E680D">
      <w:pPr>
        <w:numPr>
          <w:ilvl w:val="0"/>
          <w:numId w:val="20"/>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3E680D">
      <w:pPr>
        <w:numPr>
          <w:ilvl w:val="0"/>
          <w:numId w:val="21"/>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3E680D">
      <w:pPr>
        <w:numPr>
          <w:ilvl w:val="0"/>
          <w:numId w:val="22"/>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3E680D">
      <w:pPr>
        <w:numPr>
          <w:ilvl w:val="0"/>
          <w:numId w:val="23"/>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3E680D">
      <w:pPr>
        <w:numPr>
          <w:ilvl w:val="0"/>
          <w:numId w:val="2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3E680D">
      <w:pPr>
        <w:numPr>
          <w:ilvl w:val="0"/>
          <w:numId w:val="25"/>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3E680D">
      <w:pPr>
        <w:numPr>
          <w:ilvl w:val="0"/>
          <w:numId w:val="26"/>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087E9AE" w14:textId="28F23704" w:rsidR="00B22CA5" w:rsidRDefault="00B22CA5">
      <w:pPr>
        <w:rPr>
          <w:sz w:val="36"/>
          <w:szCs w:val="36"/>
        </w:rPr>
      </w:pPr>
      <w:r>
        <w:rPr>
          <w:sz w:val="36"/>
          <w:szCs w:val="36"/>
        </w:rPr>
        <w:br w:type="page"/>
      </w:r>
    </w:p>
    <w:p w14:paraId="6F35685F" w14:textId="77777777" w:rsidR="00F370D0" w:rsidRDefault="00F370D0" w:rsidP="00EA7D7F">
      <w:pPr>
        <w:jc w:val="center"/>
        <w:rPr>
          <w:sz w:val="36"/>
          <w:szCs w:val="36"/>
        </w:rPr>
      </w:pPr>
    </w:p>
    <w:p w14:paraId="7A52F85B" w14:textId="5C0EBA49" w:rsidR="00F34D6C" w:rsidRDefault="00F34D6C" w:rsidP="00EA7D7F">
      <w:pPr>
        <w:jc w:val="center"/>
        <w:rPr>
          <w:sz w:val="36"/>
          <w:szCs w:val="36"/>
        </w:rPr>
      </w:pPr>
    </w:p>
    <w:p w14:paraId="6A156AA4" w14:textId="555516CC" w:rsidR="00F34D6C" w:rsidRPr="00B22CA5" w:rsidRDefault="00F34D6C" w:rsidP="00B22CA5">
      <w:pPr>
        <w:pStyle w:val="Heading1"/>
        <w:numPr>
          <w:ilvl w:val="0"/>
          <w:numId w:val="43"/>
        </w:numPr>
      </w:pPr>
      <w:bookmarkStart w:id="16" w:name="_Toc528256780"/>
      <w:r w:rsidRPr="00B22CA5">
        <w:t>Merchant Defined Data (MDD)</w:t>
      </w:r>
      <w:bookmarkEnd w:id="16"/>
    </w:p>
    <w:p w14:paraId="3C588692" w14:textId="77777777" w:rsidR="00F34D6C" w:rsidRPr="00E63B6B" w:rsidRDefault="00F34D6C" w:rsidP="00F34D6C">
      <w:pPr>
        <w:jc w:val="center"/>
        <w:rPr>
          <w:color w:val="2F5496" w:themeColor="accent1" w:themeShade="BF"/>
          <w:sz w:val="40"/>
          <w:szCs w:val="40"/>
        </w:rPr>
      </w:pPr>
    </w:p>
    <w:p w14:paraId="52A8FD0E" w14:textId="77777777" w:rsidR="00F34D6C" w:rsidRPr="00FE3DF6" w:rsidRDefault="00F34D6C" w:rsidP="00F34D6C">
      <w:pPr>
        <w:pStyle w:val="BodyText"/>
        <w:rPr>
          <w:rFonts w:asciiTheme="minorHAnsi" w:hAnsiTheme="minorHAnsi"/>
        </w:rPr>
      </w:pPr>
      <w:r w:rsidRPr="00FE3DF6">
        <w:rPr>
          <w:rFonts w:asciiTheme="minorHAnsi" w:hAnsiTheme="minorHAnsi"/>
        </w:rPr>
        <w:t xml:space="preserve">The CyberSource SOAP API allows merchants to send additional information in the authorization service using MDD fields. This information can be used in the OMS. This cartridge does not yet directly support sending MDD fields in the request, however merchants can customize the Authorize request to pass these additional fields. </w:t>
      </w:r>
    </w:p>
    <w:p w14:paraId="3C0D6CD8" w14:textId="3800D602" w:rsidR="00F34D6C" w:rsidRDefault="00F34D6C" w:rsidP="00EA7D7F">
      <w:pPr>
        <w:jc w:val="center"/>
        <w:rPr>
          <w:sz w:val="36"/>
          <w:szCs w:val="36"/>
        </w:rPr>
      </w:pPr>
    </w:p>
    <w:p w14:paraId="131ECEFD" w14:textId="70F6176E" w:rsidR="00B22CA5" w:rsidRDefault="00B22CA5">
      <w:pPr>
        <w:rPr>
          <w:sz w:val="36"/>
          <w:szCs w:val="36"/>
        </w:rPr>
      </w:pPr>
      <w:r>
        <w:rPr>
          <w:sz w:val="36"/>
          <w:szCs w:val="36"/>
        </w:rPr>
        <w:br w:type="page"/>
      </w:r>
    </w:p>
    <w:p w14:paraId="5BD5B87E" w14:textId="77777777" w:rsidR="00765896" w:rsidRPr="00CD27A4" w:rsidRDefault="00765896" w:rsidP="00B22CA5">
      <w:pPr>
        <w:pStyle w:val="Heading1"/>
        <w:numPr>
          <w:ilvl w:val="0"/>
          <w:numId w:val="43"/>
        </w:numPr>
        <w:rPr>
          <w:sz w:val="36"/>
          <w:szCs w:val="36"/>
        </w:rPr>
      </w:pPr>
      <w:bookmarkStart w:id="17" w:name="_Toc528256781"/>
      <w:r w:rsidRPr="00B22CA5">
        <w:lastRenderedPageBreak/>
        <w:t>Payer Authentication</w:t>
      </w:r>
      <w:bookmarkEnd w:id="17"/>
    </w:p>
    <w:p w14:paraId="3113B40F" w14:textId="77777777" w:rsidR="00765896" w:rsidRPr="005560F6" w:rsidRDefault="00765896" w:rsidP="00765896">
      <w:pPr>
        <w:jc w:val="center"/>
        <w:rPr>
          <w:sz w:val="36"/>
          <w:szCs w:val="36"/>
        </w:rPr>
      </w:pPr>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VisaSM, MasterCard® and Maestro® SecureCode™ (UK Domestic and international), American Express SafeKeySM,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Cybersource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required Credit card types are configured on Cybsersource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Cybersource to understand if the ByPass rules are set for your account. ByPass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Import ‘int_cybersource_sfra/configuration/CS SFRA PaymentMethods v18_1.xml’ into your sandbox.</w:t>
      </w:r>
    </w:p>
    <w:p w14:paraId="29E0061A"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Under 'Merchant Tools &gt;  Ordering &gt;  Payment Methods' Make sure the 'CREDIT_CARD' payment method is enabled and configured to use the CYBERSOURCE_CREDIT payment processor.</w:t>
      </w:r>
    </w:p>
    <w:p w14:paraId="1256E678" w14:textId="258F9C02" w:rsidR="00765896" w:rsidRPr="008F2858" w:rsidRDefault="00765896" w:rsidP="008F2858">
      <w:pPr>
        <w:pStyle w:val="ListParagraph"/>
        <w:numPr>
          <w:ilvl w:val="0"/>
          <w:numId w:val="41"/>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Under 'Merchant Tools &gt;  Ordering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2C6F4249" w:rsidR="00765896" w:rsidRDefault="001B335D" w:rsidP="00B22CA5">
      <w:pPr>
        <w:pStyle w:val="Heading1"/>
        <w:numPr>
          <w:ilvl w:val="0"/>
          <w:numId w:val="43"/>
        </w:numPr>
      </w:pPr>
      <w:bookmarkStart w:id="18" w:name="_Toc528256782"/>
      <w:r w:rsidRPr="00B22CA5">
        <w:lastRenderedPageBreak/>
        <w:t>Secure Acceptance</w:t>
      </w:r>
      <w:r w:rsidR="00282689" w:rsidRPr="00B22CA5">
        <w:t xml:space="preserve"> Hosted Checkout </w:t>
      </w:r>
      <w:r w:rsidR="00B22CA5">
        <w:t>–</w:t>
      </w:r>
      <w:r w:rsidR="00765896" w:rsidRPr="00B22CA5">
        <w:t xml:space="preserve"> iFrame</w:t>
      </w:r>
      <w:bookmarkEnd w:id="18"/>
    </w:p>
    <w:p w14:paraId="3F3C6705" w14:textId="77777777" w:rsidR="00B22CA5" w:rsidRPr="00B22CA5" w:rsidRDefault="00B22CA5" w:rsidP="00B22CA5"/>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iFrame</w:t>
      </w:r>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r>
        <w:rPr>
          <w:rFonts w:asciiTheme="minorHAnsi" w:hAnsiTheme="minorHAnsi"/>
          <w:color w:val="404040" w:themeColor="text1" w:themeTint="BF"/>
        </w:rPr>
        <w:t>iFrame</w:t>
      </w:r>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724226B3" w14:textId="77777777" w:rsidR="00765896" w:rsidRPr="00A808C7"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iFrame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765896">
      <w:pPr>
        <w:pStyle w:val="ListParagraph"/>
        <w:numPr>
          <w:ilvl w:val="0"/>
          <w:numId w:val="3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1F47E2">
      <w:pPr>
        <w:pStyle w:val="ListParagraph"/>
        <w:numPr>
          <w:ilvl w:val="0"/>
          <w:numId w:val="31"/>
        </w:numPr>
        <w:rPr>
          <w:rFonts w:asciiTheme="minorHAnsi" w:hAnsiTheme="minorHAnsi"/>
          <w:color w:val="404040" w:themeColor="text1" w:themeTint="BF"/>
        </w:rPr>
      </w:pPr>
      <w:r w:rsidRPr="00692350">
        <w:rPr>
          <w:rFonts w:asciiTheme="minorHAnsi" w:hAnsiTheme="minorHAnsi"/>
          <w:color w:val="404040" w:themeColor="text1" w:themeTint="BF"/>
        </w:rPr>
        <w:t>Set the ‘</w:t>
      </w:r>
      <w:r w:rsidRPr="00692350">
        <w:rPr>
          <w:rFonts w:asciiTheme="minorHAnsi" w:hAnsiTheme="minorHAnsi"/>
          <w:color w:val="404040" w:themeColor="text1" w:themeTint="BF"/>
          <w:sz w:val="20"/>
          <w:szCs w:val="20"/>
        </w:rPr>
        <w:t>CsSAType</w:t>
      </w:r>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r w:rsidRPr="00A97B0F">
              <w:rPr>
                <w:rFonts w:asciiTheme="minorHAnsi" w:hAnsiTheme="minorHAnsi"/>
                <w:color w:val="404040" w:themeColor="text1" w:themeTint="BF"/>
                <w:sz w:val="20"/>
                <w:szCs w:val="20"/>
              </w:rPr>
              <w:t>SA_Iframe_ProfileID</w:t>
            </w:r>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Secure Acceptance Iframe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r w:rsidRPr="001901BA">
              <w:rPr>
                <w:rFonts w:asciiTheme="minorHAnsi" w:hAnsiTheme="minorHAnsi"/>
                <w:color w:val="404040" w:themeColor="text1" w:themeTint="BF"/>
                <w:sz w:val="20"/>
                <w:szCs w:val="20"/>
              </w:rPr>
              <w:t>SA_Iframe_SecretKey</w:t>
            </w:r>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Secure Acceptance Iframe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r w:rsidRPr="005D6A85">
              <w:rPr>
                <w:rFonts w:asciiTheme="minorHAnsi" w:hAnsiTheme="minorHAnsi"/>
                <w:color w:val="404040" w:themeColor="text1" w:themeTint="BF"/>
                <w:sz w:val="20"/>
                <w:szCs w:val="20"/>
              </w:rPr>
              <w:t>SA_Iframe_AccessKey</w:t>
            </w:r>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Secure Acceptance Iframe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r w:rsidRPr="000A6ECB">
              <w:rPr>
                <w:rFonts w:asciiTheme="minorHAnsi" w:hAnsiTheme="minorHAnsi"/>
                <w:color w:val="404040" w:themeColor="text1" w:themeTint="BF"/>
                <w:sz w:val="20"/>
                <w:szCs w:val="20"/>
              </w:rPr>
              <w:t>CsSAIframetFormAction</w:t>
            </w:r>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CyberSource secure acceptance Iframe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lastRenderedPageBreak/>
              <w:t>CsSAOverrideBillingAddress</w:t>
            </w:r>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3F368077" w14:textId="77777777" w:rsidR="00765896" w:rsidRDefault="00765896" w:rsidP="00765896">
      <w:pPr>
        <w:pStyle w:val="ListParagraph"/>
        <w:numPr>
          <w:ilvl w:val="0"/>
          <w:numId w:val="3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765896">
      <w:pPr>
        <w:pStyle w:val="ListParagraph"/>
        <w:numPr>
          <w:ilvl w:val="0"/>
          <w:numId w:val="24"/>
        </w:numPr>
        <w:rPr>
          <w:rFonts w:asciiTheme="minorHAnsi" w:hAnsiTheme="minorHAnsi"/>
          <w:color w:val="404040" w:themeColor="text1" w:themeTint="BF"/>
        </w:rPr>
      </w:pPr>
      <w:r w:rsidRPr="000F38AA">
        <w:rPr>
          <w:rFonts w:asciiTheme="minorHAnsi" w:hAnsiTheme="minorHAnsi"/>
          <w:color w:val="404040" w:themeColor="text1" w:themeTint="BF"/>
        </w:rPr>
        <w:t>Set the ‘</w:t>
      </w:r>
      <w:r w:rsidRPr="000F38AA">
        <w:rPr>
          <w:rFonts w:asciiTheme="minorHAnsi" w:hAnsiTheme="minorHAnsi"/>
          <w:color w:val="404040" w:themeColor="text1" w:themeTint="BF"/>
          <w:sz w:val="20"/>
          <w:szCs w:val="20"/>
        </w:rPr>
        <w:t>CsSAType</w:t>
      </w:r>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r w:rsidRPr="006F2497">
              <w:rPr>
                <w:rFonts w:asciiTheme="minorHAnsi" w:hAnsiTheme="minorHAnsi"/>
                <w:color w:val="404040" w:themeColor="text1" w:themeTint="BF"/>
                <w:sz w:val="20"/>
                <w:szCs w:val="20"/>
              </w:rPr>
              <w:t>SA_Redirect_ProfileID</w:t>
            </w:r>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r w:rsidRPr="00A4099D">
              <w:rPr>
                <w:rFonts w:asciiTheme="minorHAnsi" w:hAnsiTheme="minorHAnsi"/>
                <w:color w:val="404040" w:themeColor="text1" w:themeTint="BF"/>
                <w:sz w:val="20"/>
                <w:szCs w:val="20"/>
              </w:rPr>
              <w:t>SA_Redirect_SecretKey</w:t>
            </w:r>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r w:rsidRPr="008C0CFB">
              <w:rPr>
                <w:rFonts w:asciiTheme="minorHAnsi" w:hAnsiTheme="minorHAnsi"/>
                <w:color w:val="404040" w:themeColor="text1" w:themeTint="BF"/>
                <w:sz w:val="20"/>
                <w:szCs w:val="20"/>
              </w:rPr>
              <w:lastRenderedPageBreak/>
              <w:t>SA_Redirect_AccessKey</w:t>
            </w:r>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r w:rsidRPr="0089439F">
              <w:rPr>
                <w:rFonts w:asciiTheme="minorHAnsi" w:hAnsiTheme="minorHAnsi"/>
                <w:color w:val="404040" w:themeColor="text1" w:themeTint="BF"/>
                <w:sz w:val="20"/>
                <w:szCs w:val="20"/>
              </w:rPr>
              <w:t>CsSARedirectFormAction</w:t>
            </w:r>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13A7A710" w14:textId="7E9717B5" w:rsidR="00B22CA5" w:rsidRDefault="00B22CA5" w:rsidP="00E706E3">
      <w:pPr>
        <w:jc w:val="center"/>
        <w:rPr>
          <w:color w:val="2F5496" w:themeColor="accent1" w:themeShade="BF"/>
          <w:sz w:val="36"/>
          <w:szCs w:val="36"/>
        </w:rPr>
      </w:pPr>
    </w:p>
    <w:p w14:paraId="05756E99" w14:textId="77777777" w:rsidR="00B22CA5" w:rsidRDefault="00B22CA5">
      <w:pPr>
        <w:rPr>
          <w:color w:val="2F5496" w:themeColor="accent1" w:themeShade="BF"/>
          <w:sz w:val="36"/>
          <w:szCs w:val="36"/>
        </w:rPr>
      </w:pPr>
      <w:r>
        <w:rPr>
          <w:color w:val="2F5496" w:themeColor="accent1" w:themeShade="BF"/>
          <w:sz w:val="36"/>
          <w:szCs w:val="36"/>
        </w:rPr>
        <w:br w:type="page"/>
      </w:r>
    </w:p>
    <w:p w14:paraId="17890525" w14:textId="77777777" w:rsidR="00282689" w:rsidRDefault="00282689" w:rsidP="00E706E3">
      <w:pPr>
        <w:jc w:val="center"/>
        <w:rPr>
          <w:color w:val="2F5496" w:themeColor="accent1" w:themeShade="BF"/>
          <w:sz w:val="36"/>
          <w:szCs w:val="36"/>
        </w:rPr>
      </w:pPr>
    </w:p>
    <w:p w14:paraId="5AD11E6E" w14:textId="1DA9BC40" w:rsidR="00765896" w:rsidRPr="00B22CA5" w:rsidRDefault="00765896" w:rsidP="00B22CA5">
      <w:pPr>
        <w:pStyle w:val="Heading1"/>
        <w:numPr>
          <w:ilvl w:val="0"/>
          <w:numId w:val="43"/>
        </w:numPr>
      </w:pPr>
      <w:bookmarkStart w:id="19" w:name="_Toc528256783"/>
      <w:r w:rsidRPr="00B22CA5">
        <w:t>S</w:t>
      </w:r>
      <w:r w:rsidR="00E706E3" w:rsidRPr="00B22CA5">
        <w:t>ecure</w:t>
      </w:r>
      <w:r w:rsidR="00264749" w:rsidRPr="00B22CA5">
        <w:t xml:space="preserve"> </w:t>
      </w:r>
      <w:r w:rsidRPr="00B22CA5">
        <w:t>A</w:t>
      </w:r>
      <w:r w:rsidR="00E706E3" w:rsidRPr="00B22CA5">
        <w:t>cceptance</w:t>
      </w:r>
      <w:r w:rsidRPr="00B22CA5">
        <w:t xml:space="preserve"> </w:t>
      </w:r>
      <w:r w:rsidR="00282689" w:rsidRPr="00B22CA5">
        <w:t>Checkout API</w:t>
      </w:r>
      <w:bookmarkEnd w:id="19"/>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1F415D85" w:rsidR="008279A6" w:rsidRDefault="008279A6" w:rsidP="008279A6">
      <w:r w:rsidRPr="005557D4">
        <w:rPr>
          <w:rFonts w:asciiTheme="minorHAnsi" w:hAnsiTheme="minorHAnsi"/>
          <w:color w:val="404040" w:themeColor="text1" w:themeTint="BF"/>
        </w:rPr>
        <w:t xml:space="preserve">Secure Acceptance </w:t>
      </w:r>
      <w:r w:rsidR="00282689">
        <w:rPr>
          <w:rFonts w:asciiTheme="minorHAnsi" w:hAnsiTheme="minorHAnsi"/>
          <w:color w:val="404040" w:themeColor="text1" w:themeTint="BF"/>
        </w:rPr>
        <w:t xml:space="preserve">Checkout API (Silent Order POST) </w:t>
      </w:r>
      <w:r w:rsidRPr="005557D4">
        <w:rPr>
          <w:rFonts w:asciiTheme="minorHAnsi" w:hAnsiTheme="minorHAnsi"/>
          <w:color w:val="404040" w:themeColor="text1" w:themeTint="BF"/>
        </w:rPr>
        <w:t>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63EBAAD6" w14:textId="77777777" w:rsidR="00765896" w:rsidRPr="00A808C7"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765896">
      <w:pPr>
        <w:pStyle w:val="ListParagraph"/>
        <w:numPr>
          <w:ilvl w:val="0"/>
          <w:numId w:val="3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765896">
      <w:pPr>
        <w:pStyle w:val="ListParagraph"/>
        <w:numPr>
          <w:ilvl w:val="0"/>
          <w:numId w:val="32"/>
        </w:numPr>
        <w:rPr>
          <w:rFonts w:asciiTheme="minorHAnsi" w:hAnsiTheme="minorHAnsi"/>
          <w:color w:val="404040" w:themeColor="text1" w:themeTint="BF"/>
        </w:rPr>
      </w:pPr>
      <w:r w:rsidRPr="000F38AA">
        <w:rPr>
          <w:rFonts w:asciiTheme="minorHAnsi" w:hAnsiTheme="minorHAnsi"/>
          <w:color w:val="404040" w:themeColor="text1" w:themeTint="BF"/>
        </w:rPr>
        <w:t>Set the ‘</w:t>
      </w:r>
      <w:r w:rsidRPr="000F38AA">
        <w:rPr>
          <w:rFonts w:asciiTheme="minorHAnsi" w:hAnsiTheme="minorHAnsi"/>
          <w:color w:val="404040" w:themeColor="text1" w:themeTint="BF"/>
          <w:sz w:val="20"/>
          <w:szCs w:val="20"/>
        </w:rPr>
        <w:t>CsSAType</w:t>
      </w:r>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r w:rsidRPr="00FB61C9">
              <w:rPr>
                <w:rFonts w:asciiTheme="minorHAnsi" w:hAnsiTheme="minorHAnsi"/>
                <w:color w:val="404040" w:themeColor="text1" w:themeTint="BF"/>
                <w:sz w:val="20"/>
                <w:szCs w:val="20"/>
              </w:rPr>
              <w:lastRenderedPageBreak/>
              <w:t>CsSAType</w:t>
            </w:r>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r w:rsidRPr="009C1768">
              <w:rPr>
                <w:rFonts w:asciiTheme="minorHAnsi" w:hAnsiTheme="minorHAnsi"/>
                <w:color w:val="404040" w:themeColor="text1" w:themeTint="BF"/>
                <w:sz w:val="20"/>
                <w:szCs w:val="20"/>
              </w:rPr>
              <w:t>SA_Silent_ProfileID</w:t>
            </w:r>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r w:rsidRPr="00544C39">
              <w:rPr>
                <w:rFonts w:asciiTheme="minorHAnsi" w:hAnsiTheme="minorHAnsi"/>
                <w:color w:val="404040" w:themeColor="text1" w:themeTint="BF"/>
                <w:sz w:val="20"/>
                <w:szCs w:val="20"/>
              </w:rPr>
              <w:t>SA_Silent_SecretKey</w:t>
            </w:r>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r w:rsidRPr="00243A4B">
              <w:rPr>
                <w:rFonts w:asciiTheme="minorHAnsi" w:hAnsiTheme="minorHAnsi"/>
                <w:color w:val="404040" w:themeColor="text1" w:themeTint="BF"/>
                <w:sz w:val="20"/>
                <w:szCs w:val="20"/>
              </w:rPr>
              <w:t>SA_Silent_AccessKey</w:t>
            </w:r>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r w:rsidRPr="0017434C">
              <w:rPr>
                <w:rFonts w:asciiTheme="minorHAnsi" w:hAnsiTheme="minorHAnsi"/>
                <w:color w:val="404040" w:themeColor="text1" w:themeTint="BF"/>
                <w:sz w:val="20"/>
                <w:szCs w:val="20"/>
              </w:rPr>
              <w:t>Secure_Acceptance_Token_Create_Endpoint</w:t>
            </w:r>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r w:rsidRPr="002910AF">
              <w:rPr>
                <w:rFonts w:asciiTheme="minorHAnsi" w:hAnsiTheme="minorHAnsi"/>
                <w:color w:val="404040" w:themeColor="text1" w:themeTint="BF"/>
                <w:sz w:val="20"/>
                <w:szCs w:val="20"/>
              </w:rPr>
              <w:t>Secure_Acceptance_Token_Create_Endpoint</w:t>
            </w:r>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r w:rsidRPr="00707D09">
              <w:rPr>
                <w:rFonts w:asciiTheme="minorHAnsi" w:hAnsiTheme="minorHAnsi"/>
                <w:color w:val="404040" w:themeColor="text1" w:themeTint="BF"/>
                <w:sz w:val="20"/>
                <w:szCs w:val="20"/>
              </w:rPr>
              <w:t>Secure_Acceptance_Token_Update_Endpoint</w:t>
            </w:r>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r w:rsidRPr="005602BC">
              <w:rPr>
                <w:rFonts w:asciiTheme="minorHAnsi" w:hAnsiTheme="minorHAnsi"/>
                <w:color w:val="404040" w:themeColor="text1" w:themeTint="BF"/>
                <w:sz w:val="20"/>
                <w:szCs w:val="20"/>
              </w:rPr>
              <w:t>Secure_Acceptance_Token_Update_Endpoint</w:t>
            </w:r>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5905A15A" w:rsidR="00765896" w:rsidRPr="00B22CA5" w:rsidRDefault="00282689" w:rsidP="00B22CA5">
      <w:pPr>
        <w:pStyle w:val="Heading1"/>
        <w:numPr>
          <w:ilvl w:val="0"/>
          <w:numId w:val="43"/>
        </w:numPr>
      </w:pPr>
      <w:bookmarkStart w:id="20" w:name="_Toc528256784"/>
      <w:r w:rsidRPr="00B22CA5">
        <w:lastRenderedPageBreak/>
        <w:t>Secure Acceptance</w:t>
      </w:r>
      <w:r w:rsidR="008279A6" w:rsidRPr="00B22CA5">
        <w:t xml:space="preserve"> </w:t>
      </w:r>
      <w:r w:rsidR="00765896" w:rsidRPr="00B22CA5">
        <w:t>Flex MicroForm</w:t>
      </w:r>
      <w:bookmarkEnd w:id="20"/>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The provided JavaScript library enables you to replace the sensitive card number input field with a secure iFrame,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Using the Flex Microform client-side js library to seamlessly replace the sensitive PAN field in your input form.</w:t>
      </w:r>
    </w:p>
    <w:p w14:paraId="304F6494" w14:textId="5F270B52" w:rsidR="00765896" w:rsidRDefault="00765896" w:rsidP="00765896">
      <w:pPr>
        <w:pStyle w:val="ListParagraph"/>
        <w:numPr>
          <w:ilvl w:val="0"/>
          <w:numId w:val="38"/>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167EF5BB" w14:textId="518E355E" w:rsidR="0064163A" w:rsidRPr="0064163A" w:rsidRDefault="0064163A" w:rsidP="0064163A">
      <w:pPr>
        <w:rPr>
          <w:rFonts w:asciiTheme="minorHAnsi" w:hAnsiTheme="minorHAnsi"/>
          <w:color w:val="404040" w:themeColor="text1" w:themeTint="BF"/>
        </w:rPr>
      </w:pPr>
      <w:r>
        <w:rPr>
          <w:rFonts w:asciiTheme="minorHAnsi" w:hAnsiTheme="minorHAnsi"/>
          <w:color w:val="404040" w:themeColor="text1" w:themeTint="BF"/>
        </w:rPr>
        <w:t>Note : There is a known issue, as of Oct 2018, that prevents the test JS library from working in IE.  The production JS library does not have this issue.</w:t>
      </w: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7EC544D5" w:rsidR="0050295A" w:rsidRPr="0050295A"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01F37800" w14:textId="440987F2" w:rsidR="00765896"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214036CC" w14:textId="4F64EB30" w:rsidR="00765896" w:rsidRDefault="0050295A" w:rsidP="00765896">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Set the ‘CsSAType’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SA_Flex_HostName</w:t>
            </w:r>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SA_Flex_KeyID</w:t>
            </w:r>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SA_Flex_SharedSecret</w:t>
            </w:r>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77777777" w:rsidR="00765896" w:rsidRPr="00963FFC" w:rsidRDefault="00765896" w:rsidP="00765896">
      <w:pPr>
        <w:rPr>
          <w:sz w:val="36"/>
          <w:szCs w:val="36"/>
        </w:rPr>
      </w:pP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066F3B" w:rsidRDefault="009C6EF6" w:rsidP="009C6EF6">
            <w:pPr>
              <w:jc w:val="center"/>
              <w:rPr>
                <w:color w:val="262626" w:themeColor="text1" w:themeTint="D9"/>
                <w:sz w:val="32"/>
                <w:szCs w:val="32"/>
              </w:rPr>
            </w:pPr>
            <w:r w:rsidRPr="00066F3B">
              <w:rPr>
                <w:color w:val="262626" w:themeColor="text1" w:themeTint="D9"/>
                <w:sz w:val="32"/>
                <w:szCs w:val="32"/>
              </w:rPr>
              <w:t>18.1.0</w:t>
            </w:r>
          </w:p>
        </w:tc>
        <w:tc>
          <w:tcPr>
            <w:tcW w:w="1800" w:type="dxa"/>
          </w:tcPr>
          <w:p w14:paraId="1F6E50FC" w14:textId="52726AF2" w:rsidR="009C6EF6" w:rsidRPr="00066F3B" w:rsidRDefault="00066F3B" w:rsidP="00066F3B">
            <w:pPr>
              <w:rPr>
                <w:color w:val="262626" w:themeColor="text1" w:themeTint="D9"/>
                <w:sz w:val="32"/>
                <w:szCs w:val="32"/>
              </w:rPr>
            </w:pPr>
            <w:r w:rsidRPr="00066F3B">
              <w:rPr>
                <w:color w:val="262626" w:themeColor="text1" w:themeTint="D9"/>
                <w:sz w:val="32"/>
                <w:szCs w:val="32"/>
              </w:rPr>
              <w:t>10-25-2018</w:t>
            </w:r>
          </w:p>
        </w:tc>
        <w:tc>
          <w:tcPr>
            <w:tcW w:w="7195" w:type="dxa"/>
          </w:tcPr>
          <w:p w14:paraId="6625A897" w14:textId="264BA037" w:rsidR="009C6EF6" w:rsidRPr="00066F3B" w:rsidRDefault="00066F3B" w:rsidP="00066F3B">
            <w:pPr>
              <w:rPr>
                <w:color w:val="262626" w:themeColor="text1" w:themeTint="D9"/>
                <w:sz w:val="32"/>
                <w:szCs w:val="32"/>
              </w:rPr>
            </w:pPr>
            <w:r>
              <w:rPr>
                <w:color w:val="262626" w:themeColor="text1" w:themeTint="D9"/>
                <w:sz w:val="32"/>
                <w:szCs w:val="32"/>
              </w:rPr>
              <w:t xml:space="preserve">Initial </w:t>
            </w:r>
            <w:r w:rsidR="00CE798B">
              <w:rPr>
                <w:color w:val="262626" w:themeColor="text1" w:themeTint="D9"/>
                <w:sz w:val="32"/>
                <w:szCs w:val="32"/>
              </w:rPr>
              <w:t xml:space="preserve">SFRA </w:t>
            </w:r>
            <w:r>
              <w:rPr>
                <w:color w:val="262626" w:themeColor="text1" w:themeTint="D9"/>
                <w:sz w:val="32"/>
                <w:szCs w:val="32"/>
              </w:rPr>
              <w:t>release.</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5C53">
      <w:footerReference w:type="default" r:id="rId14"/>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76F4D" w14:textId="77777777" w:rsidR="004D2C0E" w:rsidRDefault="004D2C0E" w:rsidP="007C2A3F">
      <w:r>
        <w:separator/>
      </w:r>
    </w:p>
  </w:endnote>
  <w:endnote w:type="continuationSeparator" w:id="0">
    <w:p w14:paraId="7ACA1A32" w14:textId="77777777" w:rsidR="004D2C0E" w:rsidRDefault="004D2C0E"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617796"/>
      <w:docPartObj>
        <w:docPartGallery w:val="Page Numbers (Bottom of Page)"/>
        <w:docPartUnique/>
      </w:docPartObj>
    </w:sdtPr>
    <w:sdtEndPr>
      <w:rPr>
        <w:noProof/>
      </w:rPr>
    </w:sdtEndPr>
    <w:sdtContent>
      <w:p w14:paraId="52D28CEF" w14:textId="36193113" w:rsidR="001D31CA" w:rsidRDefault="001D31CA"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sidR="00D07F84">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1D31CA" w:rsidRDefault="001D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4BF1D" w14:textId="77777777" w:rsidR="004D2C0E" w:rsidRDefault="004D2C0E" w:rsidP="007C2A3F">
      <w:r>
        <w:separator/>
      </w:r>
    </w:p>
  </w:footnote>
  <w:footnote w:type="continuationSeparator" w:id="0">
    <w:p w14:paraId="5A6E93CD" w14:textId="77777777" w:rsidR="004D2C0E" w:rsidRDefault="004D2C0E"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F4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165DF"/>
    <w:multiLevelType w:val="hybridMultilevel"/>
    <w:tmpl w:val="CCA2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35D61"/>
    <w:multiLevelType w:val="hybridMultilevel"/>
    <w:tmpl w:val="58A2A540"/>
    <w:lvl w:ilvl="0" w:tplc="1E14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AA824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D75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7729D1"/>
    <w:multiLevelType w:val="hybridMultilevel"/>
    <w:tmpl w:val="D85E4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019A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939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544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33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93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69D6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8B680C"/>
    <w:multiLevelType w:val="hybridMultilevel"/>
    <w:tmpl w:val="3942243C"/>
    <w:lvl w:ilvl="0" w:tplc="A7B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EB5A1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01424C"/>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C71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F934D7"/>
    <w:multiLevelType w:val="hybridMultilevel"/>
    <w:tmpl w:val="0F44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19"/>
  </w:num>
  <w:num w:numId="3">
    <w:abstractNumId w:val="7"/>
  </w:num>
  <w:num w:numId="4">
    <w:abstractNumId w:val="16"/>
  </w:num>
  <w:num w:numId="5">
    <w:abstractNumId w:val="45"/>
  </w:num>
  <w:num w:numId="6">
    <w:abstractNumId w:val="33"/>
  </w:num>
  <w:num w:numId="7">
    <w:abstractNumId w:val="43"/>
  </w:num>
  <w:num w:numId="8">
    <w:abstractNumId w:val="25"/>
  </w:num>
  <w:num w:numId="9">
    <w:abstractNumId w:val="28"/>
  </w:num>
  <w:num w:numId="10">
    <w:abstractNumId w:val="11"/>
  </w:num>
  <w:num w:numId="11">
    <w:abstractNumId w:val="27"/>
  </w:num>
  <w:num w:numId="12">
    <w:abstractNumId w:val="38"/>
  </w:num>
  <w:num w:numId="13">
    <w:abstractNumId w:val="42"/>
  </w:num>
  <w:num w:numId="14">
    <w:abstractNumId w:val="46"/>
  </w:num>
  <w:num w:numId="15">
    <w:abstractNumId w:val="49"/>
  </w:num>
  <w:num w:numId="16">
    <w:abstractNumId w:val="35"/>
  </w:num>
  <w:num w:numId="17">
    <w:abstractNumId w:val="13"/>
  </w:num>
  <w:num w:numId="18">
    <w:abstractNumId w:val="10"/>
  </w:num>
  <w:num w:numId="19">
    <w:abstractNumId w:val="4"/>
  </w:num>
  <w:num w:numId="20">
    <w:abstractNumId w:val="12"/>
  </w:num>
  <w:num w:numId="21">
    <w:abstractNumId w:val="31"/>
  </w:num>
  <w:num w:numId="22">
    <w:abstractNumId w:val="2"/>
  </w:num>
  <w:num w:numId="23">
    <w:abstractNumId w:val="24"/>
  </w:num>
  <w:num w:numId="24">
    <w:abstractNumId w:val="32"/>
  </w:num>
  <w:num w:numId="25">
    <w:abstractNumId w:val="9"/>
  </w:num>
  <w:num w:numId="26">
    <w:abstractNumId w:val="30"/>
  </w:num>
  <w:num w:numId="27">
    <w:abstractNumId w:val="6"/>
  </w:num>
  <w:num w:numId="28">
    <w:abstractNumId w:val="40"/>
  </w:num>
  <w:num w:numId="29">
    <w:abstractNumId w:val="41"/>
  </w:num>
  <w:num w:numId="30">
    <w:abstractNumId w:val="17"/>
  </w:num>
  <w:num w:numId="31">
    <w:abstractNumId w:val="47"/>
  </w:num>
  <w:num w:numId="32">
    <w:abstractNumId w:val="23"/>
  </w:num>
  <w:num w:numId="33">
    <w:abstractNumId w:val="29"/>
  </w:num>
  <w:num w:numId="34">
    <w:abstractNumId w:val="3"/>
  </w:num>
  <w:num w:numId="35">
    <w:abstractNumId w:val="8"/>
  </w:num>
  <w:num w:numId="36">
    <w:abstractNumId w:val="39"/>
  </w:num>
  <w:num w:numId="37">
    <w:abstractNumId w:val="18"/>
  </w:num>
  <w:num w:numId="38">
    <w:abstractNumId w:val="26"/>
  </w:num>
  <w:num w:numId="39">
    <w:abstractNumId w:val="0"/>
  </w:num>
  <w:num w:numId="40">
    <w:abstractNumId w:val="34"/>
  </w:num>
  <w:num w:numId="41">
    <w:abstractNumId w:val="21"/>
  </w:num>
  <w:num w:numId="42">
    <w:abstractNumId w:val="15"/>
  </w:num>
  <w:num w:numId="43">
    <w:abstractNumId w:val="1"/>
  </w:num>
  <w:num w:numId="44">
    <w:abstractNumId w:val="14"/>
  </w:num>
  <w:num w:numId="45">
    <w:abstractNumId w:val="44"/>
  </w:num>
  <w:num w:numId="46">
    <w:abstractNumId w:val="20"/>
  </w:num>
  <w:num w:numId="47">
    <w:abstractNumId w:val="37"/>
  </w:num>
  <w:num w:numId="48">
    <w:abstractNumId w:val="36"/>
  </w:num>
  <w:num w:numId="49">
    <w:abstractNumId w:val="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FC"/>
    <w:rsid w:val="000028CE"/>
    <w:rsid w:val="00066F3B"/>
    <w:rsid w:val="0006706F"/>
    <w:rsid w:val="00072E45"/>
    <w:rsid w:val="00080B6A"/>
    <w:rsid w:val="00083E6D"/>
    <w:rsid w:val="000848B7"/>
    <w:rsid w:val="000859A0"/>
    <w:rsid w:val="00096E17"/>
    <w:rsid w:val="000A4FF5"/>
    <w:rsid w:val="000A6ECB"/>
    <w:rsid w:val="000A7B12"/>
    <w:rsid w:val="000B083F"/>
    <w:rsid w:val="000B39D7"/>
    <w:rsid w:val="000C6AC3"/>
    <w:rsid w:val="000E4DAD"/>
    <w:rsid w:val="000F018B"/>
    <w:rsid w:val="000F056C"/>
    <w:rsid w:val="000F0D94"/>
    <w:rsid w:val="00102D87"/>
    <w:rsid w:val="00102F84"/>
    <w:rsid w:val="0012629A"/>
    <w:rsid w:val="001328D1"/>
    <w:rsid w:val="001464A9"/>
    <w:rsid w:val="001467CD"/>
    <w:rsid w:val="00150344"/>
    <w:rsid w:val="0015261C"/>
    <w:rsid w:val="00157E60"/>
    <w:rsid w:val="0017434C"/>
    <w:rsid w:val="001865ED"/>
    <w:rsid w:val="001901BA"/>
    <w:rsid w:val="00190475"/>
    <w:rsid w:val="001B2696"/>
    <w:rsid w:val="001B335D"/>
    <w:rsid w:val="001C5789"/>
    <w:rsid w:val="001D31CA"/>
    <w:rsid w:val="001F47E2"/>
    <w:rsid w:val="00200628"/>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82689"/>
    <w:rsid w:val="00285A52"/>
    <w:rsid w:val="002910AF"/>
    <w:rsid w:val="002B1F0E"/>
    <w:rsid w:val="002D2FB6"/>
    <w:rsid w:val="002D3896"/>
    <w:rsid w:val="002D6CCF"/>
    <w:rsid w:val="00304550"/>
    <w:rsid w:val="00304C76"/>
    <w:rsid w:val="0030713F"/>
    <w:rsid w:val="00314C15"/>
    <w:rsid w:val="00346416"/>
    <w:rsid w:val="003566E5"/>
    <w:rsid w:val="003611DC"/>
    <w:rsid w:val="003679E9"/>
    <w:rsid w:val="0038041A"/>
    <w:rsid w:val="00382FA1"/>
    <w:rsid w:val="003845C8"/>
    <w:rsid w:val="003973D3"/>
    <w:rsid w:val="003A0907"/>
    <w:rsid w:val="003A7570"/>
    <w:rsid w:val="003D4B1C"/>
    <w:rsid w:val="003D7C4D"/>
    <w:rsid w:val="003E3866"/>
    <w:rsid w:val="003E680D"/>
    <w:rsid w:val="003F3DEE"/>
    <w:rsid w:val="004048AB"/>
    <w:rsid w:val="00415859"/>
    <w:rsid w:val="00430627"/>
    <w:rsid w:val="004312A0"/>
    <w:rsid w:val="0043400B"/>
    <w:rsid w:val="00435398"/>
    <w:rsid w:val="00441304"/>
    <w:rsid w:val="004511C0"/>
    <w:rsid w:val="004523C5"/>
    <w:rsid w:val="00460970"/>
    <w:rsid w:val="004702E9"/>
    <w:rsid w:val="00476ED0"/>
    <w:rsid w:val="00477781"/>
    <w:rsid w:val="00481E0B"/>
    <w:rsid w:val="0048542C"/>
    <w:rsid w:val="00486EC9"/>
    <w:rsid w:val="00496A03"/>
    <w:rsid w:val="0049742A"/>
    <w:rsid w:val="004A006C"/>
    <w:rsid w:val="004A02E6"/>
    <w:rsid w:val="004A5AA4"/>
    <w:rsid w:val="004A74E5"/>
    <w:rsid w:val="004B6825"/>
    <w:rsid w:val="004C212C"/>
    <w:rsid w:val="004C7A2A"/>
    <w:rsid w:val="004D2C0E"/>
    <w:rsid w:val="004D36F7"/>
    <w:rsid w:val="004D4B58"/>
    <w:rsid w:val="004D5AA5"/>
    <w:rsid w:val="004E4C9F"/>
    <w:rsid w:val="004F038A"/>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946C8"/>
    <w:rsid w:val="00597479"/>
    <w:rsid w:val="005B216A"/>
    <w:rsid w:val="005B398F"/>
    <w:rsid w:val="005B69C0"/>
    <w:rsid w:val="005C4F61"/>
    <w:rsid w:val="005C57A2"/>
    <w:rsid w:val="005D1579"/>
    <w:rsid w:val="005D3F5C"/>
    <w:rsid w:val="005D4866"/>
    <w:rsid w:val="005D6A85"/>
    <w:rsid w:val="005E0555"/>
    <w:rsid w:val="005E687D"/>
    <w:rsid w:val="005E7F21"/>
    <w:rsid w:val="005F4E1A"/>
    <w:rsid w:val="00604114"/>
    <w:rsid w:val="006121B8"/>
    <w:rsid w:val="0064163A"/>
    <w:rsid w:val="00662635"/>
    <w:rsid w:val="0066668F"/>
    <w:rsid w:val="006935E7"/>
    <w:rsid w:val="006971C5"/>
    <w:rsid w:val="006A35D2"/>
    <w:rsid w:val="006A4116"/>
    <w:rsid w:val="006A7225"/>
    <w:rsid w:val="006C3702"/>
    <w:rsid w:val="006C38C2"/>
    <w:rsid w:val="006E7017"/>
    <w:rsid w:val="006F2497"/>
    <w:rsid w:val="006F32EE"/>
    <w:rsid w:val="006F3DFE"/>
    <w:rsid w:val="00707D09"/>
    <w:rsid w:val="007173E2"/>
    <w:rsid w:val="007261E1"/>
    <w:rsid w:val="0073486F"/>
    <w:rsid w:val="0074357B"/>
    <w:rsid w:val="007462F0"/>
    <w:rsid w:val="007477CE"/>
    <w:rsid w:val="007506E2"/>
    <w:rsid w:val="0075361F"/>
    <w:rsid w:val="00762E3A"/>
    <w:rsid w:val="0076447B"/>
    <w:rsid w:val="0076501C"/>
    <w:rsid w:val="00765896"/>
    <w:rsid w:val="007A2D11"/>
    <w:rsid w:val="007A54CE"/>
    <w:rsid w:val="007C2A3F"/>
    <w:rsid w:val="007C5727"/>
    <w:rsid w:val="007C7626"/>
    <w:rsid w:val="007D73B5"/>
    <w:rsid w:val="007E170A"/>
    <w:rsid w:val="007E3F43"/>
    <w:rsid w:val="007E4ED2"/>
    <w:rsid w:val="007E52AD"/>
    <w:rsid w:val="007F7622"/>
    <w:rsid w:val="00811F2A"/>
    <w:rsid w:val="00820E59"/>
    <w:rsid w:val="00822BFD"/>
    <w:rsid w:val="00826464"/>
    <w:rsid w:val="008279A6"/>
    <w:rsid w:val="008450FF"/>
    <w:rsid w:val="00845726"/>
    <w:rsid w:val="00857D0B"/>
    <w:rsid w:val="00861CB3"/>
    <w:rsid w:val="008710B9"/>
    <w:rsid w:val="00873B71"/>
    <w:rsid w:val="00884EB3"/>
    <w:rsid w:val="0089439F"/>
    <w:rsid w:val="008A68A6"/>
    <w:rsid w:val="008B198D"/>
    <w:rsid w:val="008C0CFB"/>
    <w:rsid w:val="008D3AF6"/>
    <w:rsid w:val="008E1D30"/>
    <w:rsid w:val="008F2858"/>
    <w:rsid w:val="008F40E4"/>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C6EF6"/>
    <w:rsid w:val="009D024C"/>
    <w:rsid w:val="009E7DA7"/>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E10C8"/>
    <w:rsid w:val="00AF3907"/>
    <w:rsid w:val="00AF4D78"/>
    <w:rsid w:val="00AF5A71"/>
    <w:rsid w:val="00B22CA5"/>
    <w:rsid w:val="00B23075"/>
    <w:rsid w:val="00B56099"/>
    <w:rsid w:val="00B62D14"/>
    <w:rsid w:val="00B72B75"/>
    <w:rsid w:val="00B76B44"/>
    <w:rsid w:val="00B856A4"/>
    <w:rsid w:val="00BA1D4E"/>
    <w:rsid w:val="00BB4441"/>
    <w:rsid w:val="00BB6C7D"/>
    <w:rsid w:val="00BC1020"/>
    <w:rsid w:val="00BD35D3"/>
    <w:rsid w:val="00BD4834"/>
    <w:rsid w:val="00BE6B6D"/>
    <w:rsid w:val="00C12139"/>
    <w:rsid w:val="00C2092D"/>
    <w:rsid w:val="00C246AA"/>
    <w:rsid w:val="00C26975"/>
    <w:rsid w:val="00C34EB5"/>
    <w:rsid w:val="00C403F0"/>
    <w:rsid w:val="00C42852"/>
    <w:rsid w:val="00C51824"/>
    <w:rsid w:val="00C5196A"/>
    <w:rsid w:val="00C6421E"/>
    <w:rsid w:val="00C666C8"/>
    <w:rsid w:val="00C6673E"/>
    <w:rsid w:val="00C75CBD"/>
    <w:rsid w:val="00C869FB"/>
    <w:rsid w:val="00C923B8"/>
    <w:rsid w:val="00CA72F1"/>
    <w:rsid w:val="00CA7C95"/>
    <w:rsid w:val="00CB7BB4"/>
    <w:rsid w:val="00CD27A4"/>
    <w:rsid w:val="00CE1BA7"/>
    <w:rsid w:val="00CE559C"/>
    <w:rsid w:val="00CE798B"/>
    <w:rsid w:val="00CF5820"/>
    <w:rsid w:val="00CF67D2"/>
    <w:rsid w:val="00D01D28"/>
    <w:rsid w:val="00D042DA"/>
    <w:rsid w:val="00D07F84"/>
    <w:rsid w:val="00D26EE1"/>
    <w:rsid w:val="00D31666"/>
    <w:rsid w:val="00D316C1"/>
    <w:rsid w:val="00D41507"/>
    <w:rsid w:val="00D52D48"/>
    <w:rsid w:val="00D65394"/>
    <w:rsid w:val="00D7295F"/>
    <w:rsid w:val="00D72A0B"/>
    <w:rsid w:val="00D74149"/>
    <w:rsid w:val="00D752D1"/>
    <w:rsid w:val="00D8218B"/>
    <w:rsid w:val="00D90241"/>
    <w:rsid w:val="00D966D7"/>
    <w:rsid w:val="00DA1F52"/>
    <w:rsid w:val="00DB078C"/>
    <w:rsid w:val="00DB7106"/>
    <w:rsid w:val="00DD341D"/>
    <w:rsid w:val="00DE2F6C"/>
    <w:rsid w:val="00DE394A"/>
    <w:rsid w:val="00DE6256"/>
    <w:rsid w:val="00DE776A"/>
    <w:rsid w:val="00DF12CD"/>
    <w:rsid w:val="00DF130B"/>
    <w:rsid w:val="00E05EEE"/>
    <w:rsid w:val="00E14878"/>
    <w:rsid w:val="00E15613"/>
    <w:rsid w:val="00E21680"/>
    <w:rsid w:val="00E34C8C"/>
    <w:rsid w:val="00E40152"/>
    <w:rsid w:val="00E53D2A"/>
    <w:rsid w:val="00E546D3"/>
    <w:rsid w:val="00E57881"/>
    <w:rsid w:val="00E61A1C"/>
    <w:rsid w:val="00E637EE"/>
    <w:rsid w:val="00E63B6B"/>
    <w:rsid w:val="00E706E3"/>
    <w:rsid w:val="00E72027"/>
    <w:rsid w:val="00E82258"/>
    <w:rsid w:val="00E83927"/>
    <w:rsid w:val="00E86460"/>
    <w:rsid w:val="00E92F28"/>
    <w:rsid w:val="00E95C75"/>
    <w:rsid w:val="00EA17BD"/>
    <w:rsid w:val="00EA6E27"/>
    <w:rsid w:val="00EA7D7F"/>
    <w:rsid w:val="00EB0581"/>
    <w:rsid w:val="00EB20A9"/>
    <w:rsid w:val="00EB5C53"/>
    <w:rsid w:val="00EC0FE9"/>
    <w:rsid w:val="00EC512E"/>
    <w:rsid w:val="00EC5E31"/>
    <w:rsid w:val="00ED7F03"/>
    <w:rsid w:val="00EE64FD"/>
    <w:rsid w:val="00EF190B"/>
    <w:rsid w:val="00EF48BA"/>
    <w:rsid w:val="00F0013B"/>
    <w:rsid w:val="00F104FE"/>
    <w:rsid w:val="00F12064"/>
    <w:rsid w:val="00F13E8B"/>
    <w:rsid w:val="00F25569"/>
    <w:rsid w:val="00F34D6C"/>
    <w:rsid w:val="00F370D0"/>
    <w:rsid w:val="00F379AB"/>
    <w:rsid w:val="00F430E7"/>
    <w:rsid w:val="00F4528A"/>
    <w:rsid w:val="00F5051D"/>
    <w:rsid w:val="00F51680"/>
    <w:rsid w:val="00F558BC"/>
    <w:rsid w:val="00F6355D"/>
    <w:rsid w:val="00F6510A"/>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80D"/>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B2E47-7705-488E-AC9C-53F21EA5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6919</Words>
  <Characters>39442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Rodgers, Lindsey</cp:lastModifiedBy>
  <cp:revision>2</cp:revision>
  <dcterms:created xsi:type="dcterms:W3CDTF">2018-10-26T14:28:00Z</dcterms:created>
  <dcterms:modified xsi:type="dcterms:W3CDTF">2018-10-26T14:28:00Z</dcterms:modified>
</cp:coreProperties>
</file>