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420C" w14:textId="77777777" w:rsidR="0041125B" w:rsidRDefault="0041125B" w:rsidP="0041125B">
      <w:pPr>
        <w:jc w:val="center"/>
        <w:rPr>
          <w:rFonts w:cs="Times New Roman"/>
          <w:sz w:val="32"/>
          <w:szCs w:val="32"/>
        </w:rPr>
      </w:pPr>
    </w:p>
    <w:p w14:paraId="23BB18D8" w14:textId="77777777" w:rsidR="0041125B" w:rsidRDefault="0041125B" w:rsidP="0041125B">
      <w:pPr>
        <w:jc w:val="center"/>
        <w:rPr>
          <w:rFonts w:cs="Times New Roman"/>
          <w:sz w:val="32"/>
          <w:szCs w:val="32"/>
        </w:rPr>
      </w:pPr>
    </w:p>
    <w:p w14:paraId="452C52A0" w14:textId="77777777" w:rsidR="0041125B" w:rsidRDefault="0041125B" w:rsidP="0041125B">
      <w:pPr>
        <w:jc w:val="center"/>
        <w:rPr>
          <w:rFonts w:cs="Times New Roman"/>
          <w:sz w:val="32"/>
          <w:szCs w:val="32"/>
        </w:rPr>
      </w:pPr>
    </w:p>
    <w:p w14:paraId="240D0BFC" w14:textId="77777777" w:rsidR="0041125B" w:rsidRDefault="0041125B" w:rsidP="0041125B">
      <w:pPr>
        <w:jc w:val="center"/>
        <w:rPr>
          <w:rFonts w:cs="Times New Roman"/>
          <w:sz w:val="32"/>
          <w:szCs w:val="32"/>
        </w:rPr>
      </w:pPr>
    </w:p>
    <w:p w14:paraId="7EC70AB5" w14:textId="506A9619" w:rsidR="0041125B" w:rsidRPr="00970103" w:rsidRDefault="0041125B" w:rsidP="0041125B">
      <w:pPr>
        <w:jc w:val="center"/>
        <w:rPr>
          <w:rFonts w:cs="Times New Roman"/>
          <w:sz w:val="32"/>
          <w:szCs w:val="32"/>
        </w:rPr>
      </w:pPr>
      <w:r w:rsidRPr="00970103">
        <w:rPr>
          <w:rFonts w:cs="Times New Roman"/>
          <w:sz w:val="32"/>
          <w:szCs w:val="32"/>
        </w:rPr>
        <w:t>Module One Assignment</w:t>
      </w:r>
    </w:p>
    <w:p w14:paraId="34F2CB40" w14:textId="77777777" w:rsidR="0041125B" w:rsidRPr="00970103" w:rsidRDefault="0041125B" w:rsidP="0041125B">
      <w:pPr>
        <w:jc w:val="center"/>
        <w:rPr>
          <w:rFonts w:cs="Times New Roman"/>
          <w:sz w:val="32"/>
          <w:szCs w:val="32"/>
        </w:rPr>
      </w:pPr>
      <w:r w:rsidRPr="00970103">
        <w:rPr>
          <w:rFonts w:cs="Times New Roman"/>
          <w:sz w:val="32"/>
          <w:szCs w:val="32"/>
        </w:rPr>
        <w:t>By: Anthony Hennegan</w:t>
      </w:r>
    </w:p>
    <w:p w14:paraId="616C15B6" w14:textId="77777777" w:rsidR="0041125B" w:rsidRPr="00970103" w:rsidRDefault="0041125B" w:rsidP="0041125B">
      <w:pPr>
        <w:jc w:val="center"/>
        <w:rPr>
          <w:rFonts w:cs="Times New Roman"/>
          <w:sz w:val="32"/>
          <w:szCs w:val="32"/>
        </w:rPr>
      </w:pPr>
      <w:r w:rsidRPr="00970103">
        <w:rPr>
          <w:rFonts w:cs="Times New Roman"/>
          <w:sz w:val="32"/>
          <w:szCs w:val="32"/>
        </w:rPr>
        <w:t>Southern New Hampshire University</w:t>
      </w:r>
    </w:p>
    <w:p w14:paraId="0A89E18E" w14:textId="77777777" w:rsidR="0041125B" w:rsidRPr="00970103" w:rsidRDefault="0041125B" w:rsidP="0041125B">
      <w:pPr>
        <w:jc w:val="center"/>
        <w:rPr>
          <w:rFonts w:cs="Times New Roman"/>
          <w:sz w:val="32"/>
          <w:szCs w:val="32"/>
        </w:rPr>
      </w:pPr>
      <w:r w:rsidRPr="00970103">
        <w:rPr>
          <w:rFonts w:cs="Times New Roman"/>
          <w:sz w:val="32"/>
          <w:szCs w:val="32"/>
        </w:rPr>
        <w:t>DAT 475: Applied Data Analysis</w:t>
      </w:r>
    </w:p>
    <w:p w14:paraId="669EB06B" w14:textId="77777777" w:rsidR="0041125B" w:rsidRPr="00970103" w:rsidRDefault="0041125B" w:rsidP="0041125B">
      <w:pPr>
        <w:jc w:val="center"/>
        <w:rPr>
          <w:rFonts w:cs="Times New Roman"/>
          <w:sz w:val="32"/>
          <w:szCs w:val="32"/>
        </w:rPr>
      </w:pPr>
      <w:r w:rsidRPr="00970103">
        <w:rPr>
          <w:rFonts w:cs="Times New Roman"/>
          <w:sz w:val="32"/>
          <w:szCs w:val="32"/>
        </w:rPr>
        <w:t>Professor Lee Edwards</w:t>
      </w:r>
    </w:p>
    <w:p w14:paraId="70E2DCAC" w14:textId="1D36EBCA" w:rsidR="0041125B" w:rsidRDefault="0041125B" w:rsidP="0041125B">
      <w:pPr>
        <w:jc w:val="center"/>
        <w:rPr>
          <w:rFonts w:cs="Times New Roman"/>
          <w:sz w:val="32"/>
          <w:szCs w:val="32"/>
        </w:rPr>
      </w:pPr>
      <w:r>
        <w:rPr>
          <w:rFonts w:cs="Times New Roman"/>
          <w:sz w:val="32"/>
          <w:szCs w:val="32"/>
        </w:rPr>
        <w:t>October 1</w:t>
      </w:r>
      <w:r w:rsidRPr="00970103">
        <w:rPr>
          <w:rFonts w:cs="Times New Roman"/>
          <w:sz w:val="32"/>
          <w:szCs w:val="32"/>
        </w:rPr>
        <w:t>, 2025</w:t>
      </w:r>
    </w:p>
    <w:p w14:paraId="53B2432F" w14:textId="77777777" w:rsidR="0041125B" w:rsidRDefault="0041125B" w:rsidP="0041125B">
      <w:pPr>
        <w:jc w:val="center"/>
        <w:rPr>
          <w:rFonts w:cs="Times New Roman"/>
          <w:sz w:val="32"/>
          <w:szCs w:val="32"/>
        </w:rPr>
      </w:pPr>
    </w:p>
    <w:p w14:paraId="371F159E" w14:textId="77777777" w:rsidR="0041125B" w:rsidRDefault="0041125B" w:rsidP="0041125B">
      <w:pPr>
        <w:jc w:val="center"/>
        <w:rPr>
          <w:rFonts w:cs="Times New Roman"/>
          <w:sz w:val="32"/>
          <w:szCs w:val="32"/>
        </w:rPr>
      </w:pPr>
    </w:p>
    <w:p w14:paraId="4676130B" w14:textId="77777777" w:rsidR="0041125B" w:rsidRDefault="0041125B" w:rsidP="0041125B">
      <w:pPr>
        <w:jc w:val="center"/>
        <w:rPr>
          <w:rFonts w:cs="Times New Roman"/>
          <w:sz w:val="32"/>
          <w:szCs w:val="32"/>
        </w:rPr>
      </w:pPr>
    </w:p>
    <w:p w14:paraId="3FC24B8A" w14:textId="77777777" w:rsidR="0041125B" w:rsidRDefault="0041125B" w:rsidP="0041125B">
      <w:pPr>
        <w:jc w:val="center"/>
        <w:rPr>
          <w:rFonts w:cs="Times New Roman"/>
          <w:sz w:val="32"/>
          <w:szCs w:val="32"/>
        </w:rPr>
      </w:pPr>
    </w:p>
    <w:p w14:paraId="648A24D2" w14:textId="77777777" w:rsidR="0041125B" w:rsidRDefault="0041125B" w:rsidP="0041125B">
      <w:pPr>
        <w:jc w:val="center"/>
        <w:rPr>
          <w:rFonts w:cs="Times New Roman"/>
          <w:sz w:val="32"/>
          <w:szCs w:val="32"/>
        </w:rPr>
      </w:pPr>
    </w:p>
    <w:p w14:paraId="58648605" w14:textId="77777777" w:rsidR="0041125B" w:rsidRDefault="0041125B" w:rsidP="0041125B">
      <w:pPr>
        <w:jc w:val="center"/>
        <w:rPr>
          <w:rFonts w:cs="Times New Roman"/>
          <w:sz w:val="32"/>
          <w:szCs w:val="32"/>
        </w:rPr>
      </w:pPr>
    </w:p>
    <w:p w14:paraId="0D7F347F" w14:textId="77777777" w:rsidR="0041125B" w:rsidRDefault="0041125B" w:rsidP="0041125B">
      <w:pPr>
        <w:jc w:val="center"/>
        <w:rPr>
          <w:rFonts w:cs="Times New Roman"/>
          <w:sz w:val="32"/>
          <w:szCs w:val="32"/>
        </w:rPr>
      </w:pPr>
    </w:p>
    <w:p w14:paraId="7BD34322" w14:textId="77777777" w:rsidR="0041125B" w:rsidRDefault="0041125B" w:rsidP="0041125B">
      <w:pPr>
        <w:jc w:val="center"/>
        <w:rPr>
          <w:rFonts w:cs="Times New Roman"/>
          <w:sz w:val="32"/>
          <w:szCs w:val="32"/>
        </w:rPr>
      </w:pPr>
    </w:p>
    <w:p w14:paraId="4C2E8844" w14:textId="77777777" w:rsidR="0041125B" w:rsidRDefault="0041125B" w:rsidP="0041125B">
      <w:pPr>
        <w:jc w:val="center"/>
        <w:rPr>
          <w:rFonts w:cs="Times New Roman"/>
          <w:sz w:val="32"/>
          <w:szCs w:val="32"/>
        </w:rPr>
      </w:pPr>
    </w:p>
    <w:p w14:paraId="0314F757" w14:textId="77777777" w:rsidR="0041125B" w:rsidRDefault="0041125B" w:rsidP="0041125B">
      <w:pPr>
        <w:jc w:val="center"/>
        <w:rPr>
          <w:rFonts w:cs="Times New Roman"/>
          <w:sz w:val="32"/>
          <w:szCs w:val="32"/>
        </w:rPr>
      </w:pPr>
    </w:p>
    <w:p w14:paraId="6BDE574A" w14:textId="77777777" w:rsidR="0041125B" w:rsidRPr="00970103" w:rsidRDefault="0041125B" w:rsidP="0041125B">
      <w:pPr>
        <w:jc w:val="center"/>
        <w:rPr>
          <w:rFonts w:cs="Times New Roman"/>
          <w:sz w:val="32"/>
          <w:szCs w:val="32"/>
        </w:rPr>
      </w:pPr>
    </w:p>
    <w:p w14:paraId="0635AEA0" w14:textId="77777777" w:rsidR="006F11AD" w:rsidRDefault="00000000" w:rsidP="0041125B">
      <w:pPr>
        <w:spacing w:line="480" w:lineRule="auto"/>
      </w:pPr>
      <w:r>
        <w:lastRenderedPageBreak/>
        <w:t>When approaching the company’s problem of early life insurance payouts tied to preexisting medical conditions, it is important to begin with a structured hypothesis-testing process.</w:t>
      </w:r>
    </w:p>
    <w:p w14:paraId="5478F6EE" w14:textId="77777777" w:rsidR="006F11AD" w:rsidRDefault="00000000" w:rsidP="0041125B">
      <w:pPr>
        <w:pStyle w:val="Heading2"/>
        <w:spacing w:line="480" w:lineRule="auto"/>
      </w:pPr>
      <w:r>
        <w:t>Steps Before Testing Hypotheses</w:t>
      </w:r>
    </w:p>
    <w:p w14:paraId="3FA5FB40" w14:textId="77777777" w:rsidR="006F11AD" w:rsidRDefault="00000000" w:rsidP="0041125B">
      <w:pPr>
        <w:spacing w:line="480" w:lineRule="auto"/>
      </w:pPr>
      <w:r>
        <w:t>The first step is to define the problem clearly: identify which preexisting medical conditions are most associated with premature deaths relative to expected life expectancy. I would then collect a representative dataset of policyholders, including demographic information, medical history, and whether or not their insurance policy paid out early. Data cleaning and validation are also necessary to remove errors, missing values, or duplicate records. Finally, I would ensure the data meet assumptions for the statistical tests to be used, such as normality, independence, and equal variances.</w:t>
      </w:r>
    </w:p>
    <w:p w14:paraId="5DA4AA94" w14:textId="77777777" w:rsidR="006F11AD" w:rsidRDefault="00000000" w:rsidP="0041125B">
      <w:pPr>
        <w:pStyle w:val="Heading2"/>
        <w:spacing w:line="480" w:lineRule="auto"/>
      </w:pPr>
      <w:r>
        <w:t>Population Parameters</w:t>
      </w:r>
    </w:p>
    <w:p w14:paraId="1130D1ED" w14:textId="77777777" w:rsidR="006F11AD" w:rsidRDefault="00000000" w:rsidP="0041125B">
      <w:pPr>
        <w:spacing w:line="480" w:lineRule="auto"/>
      </w:pPr>
      <w:r>
        <w:t>The population of interest is all customers with life insurance policies who had preexisting medical conditions at the time of application. The parameters include the mean and variance of life expectancy by condition, and the proportion of clients with specific conditions who experienced early payouts. These parameters allow us to compare across groups and assess whether certain conditions lead to statistically significant differences in payout timing.</w:t>
      </w:r>
    </w:p>
    <w:p w14:paraId="18F222A1" w14:textId="77777777" w:rsidR="006F11AD" w:rsidRDefault="00000000" w:rsidP="0041125B">
      <w:pPr>
        <w:pStyle w:val="Heading2"/>
        <w:spacing w:line="480" w:lineRule="auto"/>
      </w:pPr>
      <w:r>
        <w:t>Hypotheses to Test</w:t>
      </w:r>
    </w:p>
    <w:p w14:paraId="1C273070" w14:textId="77777777" w:rsidR="006F11AD" w:rsidRDefault="00000000" w:rsidP="0041125B">
      <w:pPr>
        <w:spacing w:line="480" w:lineRule="auto"/>
      </w:pPr>
      <w:r>
        <w:t>The null and alternative hypotheses might be structured as follows:</w:t>
      </w:r>
      <w:r>
        <w:br/>
      </w:r>
      <w:r>
        <w:br/>
        <w:t xml:space="preserve">• H₀: There is no significant relationship between preexisting medical conditions and </w:t>
      </w:r>
      <w:r>
        <w:lastRenderedPageBreak/>
        <w:t>early life insurance payouts.</w:t>
      </w:r>
      <w:r>
        <w:br/>
        <w:t>• H₁: Certain preexisting conditions (e.g., heart disease) are associated with a higher likelihood of early payouts.</w:t>
      </w:r>
      <w:r>
        <w:br/>
        <w:t>• H₂: Other conditions (e.g., cancer) are associated with a higher likelihood of early payouts.</w:t>
      </w:r>
      <w:r>
        <w:br/>
        <w:t>• H₃: Chronic conditions (e.g., diabetes, hypertension) increase the probability of early payouts compared to those without these conditions.</w:t>
      </w:r>
    </w:p>
    <w:p w14:paraId="267A0A23" w14:textId="77777777" w:rsidR="006F11AD" w:rsidRDefault="00000000" w:rsidP="0041125B">
      <w:pPr>
        <w:pStyle w:val="Heading2"/>
        <w:spacing w:line="480" w:lineRule="auto"/>
      </w:pPr>
      <w:r>
        <w:t>Hypothesis-Testing Process</w:t>
      </w:r>
    </w:p>
    <w:p w14:paraId="32E3A533" w14:textId="77777777" w:rsidR="006F11AD" w:rsidRDefault="00000000" w:rsidP="0041125B">
      <w:pPr>
        <w:spacing w:line="480" w:lineRule="auto"/>
      </w:pPr>
      <w:r>
        <w:t>Once the hypotheses are defined, the process involves:</w:t>
      </w:r>
      <w:r>
        <w:br/>
        <w:t>1. Selecting a significance level (α = 0.05).</w:t>
      </w:r>
      <w:r>
        <w:br/>
        <w:t>2. Determining the correct statistical test (e.g., chi-square test for categorical variables, ANOVA or t-tests for mean differences across groups).</w:t>
      </w:r>
      <w:r>
        <w:br/>
        <w:t>3. Calculating the test statistic and corresponding p-value.</w:t>
      </w:r>
      <w:r>
        <w:br/>
        <w:t>4. Comparing the p-value to α.</w:t>
      </w:r>
      <w:r>
        <w:br/>
        <w:t>5. Rejecting or failing to reject the null hypothesis based on the evidence.</w:t>
      </w:r>
    </w:p>
    <w:p w14:paraId="6245701D" w14:textId="77777777" w:rsidR="006F11AD" w:rsidRDefault="00000000" w:rsidP="0041125B">
      <w:pPr>
        <w:pStyle w:val="Heading2"/>
        <w:spacing w:line="480" w:lineRule="auto"/>
      </w:pPr>
      <w:r>
        <w:t>Diagnostic Tests</w:t>
      </w:r>
    </w:p>
    <w:p w14:paraId="1CEAF988" w14:textId="77777777" w:rsidR="006F11AD" w:rsidRDefault="00000000" w:rsidP="0041125B">
      <w:pPr>
        <w:spacing w:line="480" w:lineRule="auto"/>
      </w:pPr>
      <w:r>
        <w:t>Before final testing, diagnostic checks are important. For ANOVA or regression models, I would run tests for normality (Shapiro-Wilk test), equality of variances (Levene’s test), and independence of observations. If categorical data are used (e.g., presence/absence of condition), I would verify that expected frequencies meet chi-square test assumptions.</w:t>
      </w:r>
    </w:p>
    <w:p w14:paraId="7D738695" w14:textId="77777777" w:rsidR="006F11AD" w:rsidRDefault="00000000" w:rsidP="0041125B">
      <w:pPr>
        <w:pStyle w:val="Heading2"/>
        <w:spacing w:line="480" w:lineRule="auto"/>
      </w:pPr>
      <w:r>
        <w:lastRenderedPageBreak/>
        <w:t>Procedures and Methods</w:t>
      </w:r>
    </w:p>
    <w:p w14:paraId="53FEFA76" w14:textId="77777777" w:rsidR="006F11AD" w:rsidRDefault="00000000" w:rsidP="0041125B">
      <w:pPr>
        <w:spacing w:line="480" w:lineRule="auto"/>
      </w:pPr>
      <w:r>
        <w:t>The primary methods would include:</w:t>
      </w:r>
      <w:r>
        <w:br/>
        <w:t>• Chi-square tests of independence to examine relationships between conditions and early payouts.</w:t>
      </w:r>
      <w:r>
        <w:br/>
        <w:t>• One-way ANOVA if comparing mean life expectancy differences across condition groups.</w:t>
      </w:r>
      <w:r>
        <w:br/>
        <w:t>• Logistic regression to model the probability of early payouts based on one or more preexisting conditions, while controlling for confounding factors such as age and gender.</w:t>
      </w:r>
      <w:r>
        <w:br/>
      </w:r>
      <w:r>
        <w:br/>
        <w:t>These procedures allow the company to determine which medical conditions present the greatest risk and to adjust underwriting policies accordingly.</w:t>
      </w:r>
    </w:p>
    <w:p w14:paraId="77DB7620" w14:textId="77777777" w:rsidR="006F11AD" w:rsidRDefault="00000000" w:rsidP="0041125B">
      <w:pPr>
        <w:pStyle w:val="Heading2"/>
        <w:spacing w:line="480" w:lineRule="auto"/>
      </w:pPr>
      <w:r>
        <w:t>References</w:t>
      </w:r>
    </w:p>
    <w:p w14:paraId="394FB418" w14:textId="77777777" w:rsidR="006F11AD" w:rsidRDefault="00000000" w:rsidP="0041125B">
      <w:pPr>
        <w:spacing w:line="480" w:lineRule="auto"/>
      </w:pPr>
      <w:r>
        <w:t>American Statistical Association. (2016). The ASA’s statement on p-values: Context, process, and purpose. The American Statistician, 70(2), 129–133. https://doi.org/10.1080/00031305.2016.1154108</w:t>
      </w:r>
    </w:p>
    <w:sectPr w:rsidR="006F11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641472">
    <w:abstractNumId w:val="8"/>
  </w:num>
  <w:num w:numId="2" w16cid:durableId="1248854531">
    <w:abstractNumId w:val="6"/>
  </w:num>
  <w:num w:numId="3" w16cid:durableId="308285540">
    <w:abstractNumId w:val="5"/>
  </w:num>
  <w:num w:numId="4" w16cid:durableId="1194490973">
    <w:abstractNumId w:val="4"/>
  </w:num>
  <w:num w:numId="5" w16cid:durableId="1162235063">
    <w:abstractNumId w:val="7"/>
  </w:num>
  <w:num w:numId="6" w16cid:durableId="1821264963">
    <w:abstractNumId w:val="3"/>
  </w:num>
  <w:num w:numId="7" w16cid:durableId="1672832722">
    <w:abstractNumId w:val="2"/>
  </w:num>
  <w:num w:numId="8" w16cid:durableId="969747239">
    <w:abstractNumId w:val="1"/>
  </w:num>
  <w:num w:numId="9" w16cid:durableId="153572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125B"/>
    <w:rsid w:val="006F11AD"/>
    <w:rsid w:val="00AA1D8D"/>
    <w:rsid w:val="00B47730"/>
    <w:rsid w:val="00BC07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C1885"/>
  <w14:defaultImageDpi w14:val="300"/>
  <w15:docId w15:val="{BA012242-E8C5-004A-8450-DED43C249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Hennegan, Anthony</cp:lastModifiedBy>
  <cp:revision>2</cp:revision>
  <dcterms:created xsi:type="dcterms:W3CDTF">2025-10-02T03:56:00Z</dcterms:created>
  <dcterms:modified xsi:type="dcterms:W3CDTF">2025-10-02T03:56:00Z</dcterms:modified>
  <cp:category/>
</cp:coreProperties>
</file>