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pPr>
      <w:r>
        <w:rPr>
          <w:rFonts w:ascii="Calibri" w:cs="Calibri" w:eastAsia="Calibri" w:hAnsi="Calibri"/>
          <w:b/>
          <w:bCs/>
          <w:color w:val="1A1A1A"/>
          <w:sz w:val="44"/>
          <w:szCs w:val="44"/>
        </w:rPr>
        <w:t xml:space="preserve">PREDATOR ATLAS 7</w:t>
      </w:r>
    </w:p>
    <w:p>
      <w:pPr>
        <w:spacing w:after="60" w:before="0"/>
      </w:pPr>
      <w:r>
        <w:rPr>
          <w:rFonts w:ascii="Calibri" w:cs="Calibri" w:eastAsia="Calibri" w:hAnsi="Calibri"/>
          <w:i/>
          <w:iCs/>
          <w:color w:val="595959"/>
          <w:sz w:val="22"/>
          <w:szCs w:val="22"/>
        </w:rPr>
        <w:t xml:space="preserve">Good Design Award — Submission Package</w:t>
      </w:r>
    </w:p>
    <w:p>
      <w:pPr>
        <w:spacing w:after="240" w:before="0"/>
      </w:pPr>
      <w:r>
        <w:rPr>
          <w:rFonts w:ascii="Calibri" w:cs="Calibri" w:eastAsia="Calibri" w:hAnsi="Calibri"/>
          <w:color w:val="595959"/>
          <w:sz w:val="20"/>
          <w:szCs w:val="20"/>
        </w:rPr>
        <w:t xml:space="preserve">Acer Inc.  |  Predator  |  Model PA07-I51  |  2026 entry cycle</w:t>
      </w:r>
    </w:p>
    <w:p>
      <w:pPr>
        <w:pBdr>
          <w:bottom w:val="single" w:color="BFBFBF" w:sz="6" w:space="1"/>
        </w:pBdr>
        <w:spacing w:after="200" w:before="0"/>
      </w:pPr>
      <w:r>
        <w:t xml:space="preserve"/>
      </w:r>
    </w:p>
    <w:p>
      <w:pPr>
        <w:spacing w:after="120" w:before="0" w:line="300"/>
        <w:jc w:val="left"/>
      </w:pPr>
      <w:r>
        <w:rPr>
          <w:rFonts w:ascii="Calibri" w:cs="Calibri" w:eastAsia="Calibri" w:hAnsi="Calibri"/>
          <w:sz w:val="22"/>
          <w:szCs w:val="22"/>
        </w:rPr>
        <w:t xml:space="preserve">This document is organised to mirror the Good Design Award online entry form. Each field heading below corresponds to a field in the form. Text shown in the bordered red panels is ready to paste directly into the corresponding form field. Items in [square brackets] await final confirmation.</w:t>
      </w:r>
    </w:p>
    <w:p>
      <w:pPr>
        <w:pStyle w:val="Heading1"/>
        <w:spacing w:after="100" w:before="360"/>
      </w:pPr>
      <w:r>
        <w:rPr>
          <w:rFonts w:ascii="Calibri" w:cs="Calibri" w:eastAsia="Calibri" w:hAnsi="Calibri"/>
          <w:b/>
          <w:bCs/>
          <w:color w:val="AA0000"/>
          <w:sz w:val="30"/>
          <w:szCs w:val="30"/>
        </w:rPr>
        <w:t xml:space="preserve">1-1  Entry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c>
          <w:tcPr>
            <w:tcW w:type="dxa" w:w="3400"/>
            <w:tcBorders>
              <w:top w:val="single" w:color="BFBFBF" w:sz="4"/>
              <w:left w:val="single" w:color="BFBFBF" w:sz="4"/>
              <w:bottom w:val="single" w:color="BFBFBF" w:sz="4"/>
              <w:right w:val="single" w:color="BFBFBF" w:sz="4"/>
            </w:tcBorders>
            <w:shd w:fill="F2F2F2" w:color="auto" w:val="clear"/>
            <w:tcMar>
              <w:top w:type="dxa" w:w="90"/>
              <w:left w:type="dxa" w:w="140"/>
              <w:bottom w:type="dxa" w:w="90"/>
              <w:right w:type="dxa" w:w="140"/>
            </w:tcMar>
          </w:tcPr>
          <w:p>
            <w:pPr>
              <w:spacing w:after="0" w:before="0"/>
            </w:pPr>
            <w:r>
              <w:rPr>
                <w:rFonts w:ascii="Calibri" w:cs="Calibri" w:eastAsia="Calibri" w:hAnsi="Calibri"/>
                <w:b/>
                <w:bCs/>
                <w:sz w:val="20"/>
                <w:szCs w:val="20"/>
              </w:rPr>
              <w:t xml:space="preserve">General name of the entry</w:t>
            </w:r>
          </w:p>
        </w:tc>
        <w:tc>
          <w:tcPr>
            <w:tcW w:type="dxa" w:w="5960"/>
            <w:tcBorders>
              <w:top w:val="single" w:color="BFBFBF" w:sz="4"/>
              <w:left w:val="single" w:color="BFBFBF" w:sz="4"/>
              <w:bottom w:val="single" w:color="BFBFBF" w:sz="4"/>
              <w:right w:val="single" w:color="BFBFBF" w:sz="4"/>
            </w:tcBorders>
            <w:tcMar>
              <w:top w:type="dxa" w:w="90"/>
              <w:left w:type="dxa" w:w="140"/>
              <w:bottom w:type="dxa" w:w="90"/>
              <w:right w:type="dxa" w:w="140"/>
            </w:tcMar>
          </w:tcPr>
          <w:p>
            <w:pPr>
              <w:spacing w:after="0" w:before="0"/>
            </w:pPr>
            <w:r>
              <w:rPr>
                <w:rFonts w:ascii="Calibri" w:cs="Calibri" w:eastAsia="Calibri" w:hAnsi="Calibri"/>
                <w:b w:val="false"/>
                <w:bCs w:val="false"/>
                <w:sz w:val="20"/>
                <w:szCs w:val="20"/>
              </w:rPr>
              <w:t xml:space="preserve">Predator Atlas 7</w:t>
            </w:r>
          </w:p>
        </w:tc>
      </w:tr>
      <w:tr>
        <w:tc>
          <w:tcPr>
            <w:tcW w:type="dxa" w:w="3400"/>
            <w:tcBorders>
              <w:top w:val="single" w:color="BFBFBF" w:sz="4"/>
              <w:left w:val="single" w:color="BFBFBF" w:sz="4"/>
              <w:bottom w:val="single" w:color="BFBFBF" w:sz="4"/>
              <w:right w:val="single" w:color="BFBFBF" w:sz="4"/>
            </w:tcBorders>
            <w:shd w:fill="F2F2F2" w:color="auto" w:val="clear"/>
            <w:tcMar>
              <w:top w:type="dxa" w:w="90"/>
              <w:left w:type="dxa" w:w="140"/>
              <w:bottom w:type="dxa" w:w="90"/>
              <w:right w:type="dxa" w:w="140"/>
            </w:tcMar>
          </w:tcPr>
          <w:p>
            <w:pPr>
              <w:spacing w:after="0" w:before="0"/>
            </w:pPr>
            <w:r>
              <w:rPr>
                <w:rFonts w:ascii="Calibri" w:cs="Calibri" w:eastAsia="Calibri" w:hAnsi="Calibri"/>
                <w:b/>
                <w:bCs/>
                <w:sz w:val="20"/>
                <w:szCs w:val="20"/>
              </w:rPr>
              <w:t xml:space="preserve">Proper (unique) name of the entry</w:t>
            </w:r>
          </w:p>
        </w:tc>
        <w:tc>
          <w:tcPr>
            <w:tcW w:type="dxa" w:w="5960"/>
            <w:tcBorders>
              <w:top w:val="single" w:color="BFBFBF" w:sz="4"/>
              <w:left w:val="single" w:color="BFBFBF" w:sz="4"/>
              <w:bottom w:val="single" w:color="BFBFBF" w:sz="4"/>
              <w:right w:val="single" w:color="BFBFBF" w:sz="4"/>
            </w:tcBorders>
            <w:tcMar>
              <w:top w:type="dxa" w:w="90"/>
              <w:left w:type="dxa" w:w="140"/>
              <w:bottom w:type="dxa" w:w="90"/>
              <w:right w:type="dxa" w:w="140"/>
            </w:tcMar>
          </w:tcPr>
          <w:p>
            <w:pPr>
              <w:spacing w:after="0" w:before="0"/>
            </w:pPr>
            <w:r>
              <w:rPr>
                <w:rFonts w:ascii="Calibri" w:cs="Calibri" w:eastAsia="Calibri" w:hAnsi="Calibri"/>
                <w:b w:val="false"/>
                <w:bCs w:val="false"/>
                <w:sz w:val="20"/>
                <w:szCs w:val="20"/>
              </w:rPr>
              <w:t xml:space="preserve">PA07-I51</w:t>
            </w:r>
          </w:p>
        </w:tc>
      </w:tr>
      <w:tr>
        <w:tc>
          <w:tcPr>
            <w:tcW w:type="dxa" w:w="3400"/>
            <w:tcBorders>
              <w:top w:val="single" w:color="BFBFBF" w:sz="4"/>
              <w:left w:val="single" w:color="BFBFBF" w:sz="4"/>
              <w:bottom w:val="single" w:color="BFBFBF" w:sz="4"/>
              <w:right w:val="single" w:color="BFBFBF" w:sz="4"/>
            </w:tcBorders>
            <w:shd w:fill="F2F2F2" w:color="auto" w:val="clear"/>
            <w:tcMar>
              <w:top w:type="dxa" w:w="90"/>
              <w:left w:type="dxa" w:w="140"/>
              <w:bottom w:type="dxa" w:w="90"/>
              <w:right w:type="dxa" w:w="140"/>
            </w:tcMar>
          </w:tcPr>
          <w:p>
            <w:pPr>
              <w:spacing w:after="0" w:before="0"/>
            </w:pPr>
            <w:r>
              <w:rPr>
                <w:rFonts w:ascii="Calibri" w:cs="Calibri" w:eastAsia="Calibri" w:hAnsi="Calibri"/>
                <w:b/>
                <w:bCs/>
                <w:sz w:val="20"/>
                <w:szCs w:val="20"/>
              </w:rPr>
              <w:t xml:space="preserve">Applicant</w:t>
            </w:r>
          </w:p>
        </w:tc>
        <w:tc>
          <w:tcPr>
            <w:tcW w:type="dxa" w:w="5960"/>
            <w:tcBorders>
              <w:top w:val="single" w:color="BFBFBF" w:sz="4"/>
              <w:left w:val="single" w:color="BFBFBF" w:sz="4"/>
              <w:bottom w:val="single" w:color="BFBFBF" w:sz="4"/>
              <w:right w:val="single" w:color="BFBFBF" w:sz="4"/>
            </w:tcBorders>
            <w:tcMar>
              <w:top w:type="dxa" w:w="90"/>
              <w:left w:type="dxa" w:w="140"/>
              <w:bottom w:type="dxa" w:w="90"/>
              <w:right w:type="dxa" w:w="140"/>
            </w:tcMar>
          </w:tcPr>
          <w:p>
            <w:pPr>
              <w:spacing w:after="0" w:before="0"/>
            </w:pPr>
            <w:r>
              <w:rPr>
                <w:rFonts w:ascii="Calibri" w:cs="Calibri" w:eastAsia="Calibri" w:hAnsi="Calibri"/>
                <w:b w:val="false"/>
                <w:bCs w:val="false"/>
                <w:sz w:val="20"/>
                <w:szCs w:val="20"/>
              </w:rPr>
              <w:t xml:space="preserve">Acer Inc. (Chairman: Jason Chen)</w:t>
            </w:r>
          </w:p>
        </w:tc>
      </w:tr>
      <w:tr>
        <w:tc>
          <w:tcPr>
            <w:tcW w:type="dxa" w:w="3400"/>
            <w:tcBorders>
              <w:top w:val="single" w:color="BFBFBF" w:sz="4"/>
              <w:left w:val="single" w:color="BFBFBF" w:sz="4"/>
              <w:bottom w:val="single" w:color="BFBFBF" w:sz="4"/>
              <w:right w:val="single" w:color="BFBFBF" w:sz="4"/>
            </w:tcBorders>
            <w:shd w:fill="F2F2F2" w:color="auto" w:val="clear"/>
            <w:tcMar>
              <w:top w:type="dxa" w:w="90"/>
              <w:left w:type="dxa" w:w="140"/>
              <w:bottom w:type="dxa" w:w="90"/>
              <w:right w:type="dxa" w:w="140"/>
            </w:tcMar>
          </w:tcPr>
          <w:p>
            <w:pPr>
              <w:spacing w:after="0" w:before="0"/>
            </w:pPr>
            <w:r>
              <w:rPr>
                <w:rFonts w:ascii="Calibri" w:cs="Calibri" w:eastAsia="Calibri" w:hAnsi="Calibri"/>
                <w:b/>
                <w:bCs/>
                <w:sz w:val="20"/>
                <w:szCs w:val="20"/>
              </w:rPr>
              <w:t xml:space="preserve">Business owner</w:t>
            </w:r>
          </w:p>
        </w:tc>
        <w:tc>
          <w:tcPr>
            <w:tcW w:type="dxa" w:w="5960"/>
            <w:tcBorders>
              <w:top w:val="single" w:color="BFBFBF" w:sz="4"/>
              <w:left w:val="single" w:color="BFBFBF" w:sz="4"/>
              <w:bottom w:val="single" w:color="BFBFBF" w:sz="4"/>
              <w:right w:val="single" w:color="BFBFBF" w:sz="4"/>
            </w:tcBorders>
            <w:tcMar>
              <w:top w:type="dxa" w:w="90"/>
              <w:left w:type="dxa" w:w="140"/>
              <w:bottom w:type="dxa" w:w="90"/>
              <w:right w:type="dxa" w:w="140"/>
            </w:tcMar>
          </w:tcPr>
          <w:p>
            <w:pPr>
              <w:spacing w:after="0" w:before="0"/>
            </w:pPr>
            <w:r>
              <w:rPr>
                <w:rFonts w:ascii="Calibri" w:cs="Calibri" w:eastAsia="Calibri" w:hAnsi="Calibri"/>
                <w:b w:val="false"/>
                <w:bCs w:val="false"/>
                <w:sz w:val="20"/>
                <w:szCs w:val="20"/>
              </w:rPr>
              <w:t xml:space="preserve">Acer Inc.</w:t>
            </w:r>
          </w:p>
        </w:tc>
      </w:tr>
    </w:tbl>
    <w:p>
      <w:pPr>
        <w:pStyle w:val="Heading1"/>
        <w:spacing w:after="100" w:before="360"/>
      </w:pPr>
      <w:r>
        <w:rPr>
          <w:rFonts w:ascii="Calibri" w:cs="Calibri" w:eastAsia="Calibri" w:hAnsi="Calibri"/>
          <w:b/>
          <w:bCs/>
          <w:color w:val="AA0000"/>
          <w:sz w:val="30"/>
          <w:szCs w:val="30"/>
        </w:rPr>
        <w:t xml:space="preserve">1-2  Designer Information</w:t>
      </w:r>
    </w:p>
    <w:p>
      <w:pPr>
        <w:spacing w:after="120" w:before="0" w:line="300"/>
        <w:jc w:val="left"/>
      </w:pPr>
      <w:r>
        <w:rPr>
          <w:rFonts w:ascii="Calibri" w:cs="Calibri" w:eastAsia="Calibri" w:hAnsi="Calibri"/>
          <w:sz w:val="22"/>
          <w:szCs w:val="22"/>
        </w:rPr>
        <w:t xml:space="preserve">Producer / Director / Designer credits — please fill in at least one section.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BFBFBF" w:sz="4"/>
              <w:left w:val="single" w:color="BFBFBF" w:sz="4"/>
              <w:bottom w:val="single" w:color="BFBFBF" w:sz="4"/>
              <w:right w:val="single" w:color="BFBFBF" w:sz="4"/>
            </w:tcBorders>
            <w:shd w:fill="F2F2F2" w:color="auto" w:val="clear"/>
            <w:tcMar>
              <w:top w:type="dxa" w:w="90"/>
              <w:left w:type="dxa" w:w="140"/>
              <w:bottom w:type="dxa" w:w="90"/>
              <w:right w:type="dxa" w:w="140"/>
            </w:tcMar>
          </w:tcPr>
          <w:p>
            <w:pPr>
              <w:spacing w:after="0" w:before="0"/>
            </w:pPr>
            <w:r>
              <w:rPr>
                <w:rFonts w:ascii="Calibri" w:cs="Calibri" w:eastAsia="Calibri" w:hAnsi="Calibri"/>
                <w:b/>
                <w:bCs/>
                <w:sz w:val="20"/>
                <w:szCs w:val="20"/>
              </w:rPr>
              <w:t xml:space="preserve">Producer</w:t>
            </w:r>
          </w:p>
        </w:tc>
        <w:tc>
          <w:tcPr>
            <w:tcW w:type="dxa" w:w="7560"/>
            <w:tcBorders>
              <w:top w:val="single" w:color="BFBFBF" w:sz="4"/>
              <w:left w:val="single" w:color="BFBFBF" w:sz="4"/>
              <w:bottom w:val="single" w:color="BFBFBF" w:sz="4"/>
              <w:right w:val="single" w:color="BFBFBF" w:sz="4"/>
            </w:tcBorders>
            <w:tcMar>
              <w:top w:type="dxa" w:w="90"/>
              <w:left w:type="dxa" w:w="140"/>
              <w:bottom w:type="dxa" w:w="90"/>
              <w:right w:type="dxa" w:w="140"/>
            </w:tcMar>
          </w:tcPr>
          <w:p>
            <w:pPr>
              <w:spacing w:after="0" w:before="0"/>
            </w:pPr>
            <w:r>
              <w:rPr>
                <w:rFonts w:ascii="Calibri" w:cs="Calibri" w:eastAsia="Calibri" w:hAnsi="Calibri"/>
                <w:b w:val="false"/>
                <w:bCs w:val="false"/>
                <w:sz w:val="20"/>
                <w:szCs w:val="20"/>
              </w:rPr>
              <w:t xml:space="preserve">Clark Gurden (Product Marketing &amp; Copywriting)</w:t>
            </w:r>
          </w:p>
        </w:tc>
      </w:tr>
      <w:tr>
        <w:tc>
          <w:tcPr>
            <w:tcW w:type="dxa" w:w="1800"/>
            <w:tcBorders>
              <w:top w:val="single" w:color="BFBFBF" w:sz="4"/>
              <w:left w:val="single" w:color="BFBFBF" w:sz="4"/>
              <w:bottom w:val="single" w:color="BFBFBF" w:sz="4"/>
              <w:right w:val="single" w:color="BFBFBF" w:sz="4"/>
            </w:tcBorders>
            <w:shd w:fill="F2F2F2" w:color="auto" w:val="clear"/>
            <w:tcMar>
              <w:top w:type="dxa" w:w="90"/>
              <w:left w:type="dxa" w:w="140"/>
              <w:bottom w:type="dxa" w:w="90"/>
              <w:right w:type="dxa" w:w="140"/>
            </w:tcMar>
          </w:tcPr>
          <w:p>
            <w:pPr>
              <w:spacing w:after="0" w:before="0"/>
            </w:pPr>
            <w:r>
              <w:rPr>
                <w:rFonts w:ascii="Calibri" w:cs="Calibri" w:eastAsia="Calibri" w:hAnsi="Calibri"/>
                <w:b/>
                <w:bCs/>
                <w:sz w:val="20"/>
                <w:szCs w:val="20"/>
              </w:rPr>
              <w:t xml:space="preserve">Director</w:t>
            </w:r>
          </w:p>
        </w:tc>
        <w:tc>
          <w:tcPr>
            <w:tcW w:type="dxa" w:w="7560"/>
            <w:tcBorders>
              <w:top w:val="single" w:color="BFBFBF" w:sz="4"/>
              <w:left w:val="single" w:color="BFBFBF" w:sz="4"/>
              <w:bottom w:val="single" w:color="BFBFBF" w:sz="4"/>
              <w:right w:val="single" w:color="BFBFBF" w:sz="4"/>
            </w:tcBorders>
            <w:tcMar>
              <w:top w:type="dxa" w:w="90"/>
              <w:left w:type="dxa" w:w="140"/>
              <w:bottom w:type="dxa" w:w="90"/>
              <w:right w:type="dxa" w:w="140"/>
            </w:tcMar>
          </w:tcPr>
          <w:p>
            <w:pPr>
              <w:spacing w:after="0" w:before="0"/>
            </w:pPr>
            <w:r>
              <w:rPr>
                <w:rFonts w:ascii="Calibri" w:cs="Calibri" w:eastAsia="Calibri" w:hAnsi="Calibri"/>
                <w:b w:val="false"/>
                <w:bCs w:val="false"/>
                <w:sz w:val="20"/>
                <w:szCs w:val="20"/>
              </w:rPr>
              <w:t xml:space="preserve">Burnett Li (Product Marketing)</w:t>
            </w:r>
          </w:p>
        </w:tc>
      </w:tr>
      <w:tr>
        <w:tc>
          <w:tcPr>
            <w:tcW w:type="dxa" w:w="1800"/>
            <w:tcBorders>
              <w:top w:val="single" w:color="BFBFBF" w:sz="4"/>
              <w:left w:val="single" w:color="BFBFBF" w:sz="4"/>
              <w:bottom w:val="single" w:color="BFBFBF" w:sz="4"/>
              <w:right w:val="single" w:color="BFBFBF" w:sz="4"/>
            </w:tcBorders>
            <w:shd w:fill="F2F2F2" w:color="auto" w:val="clear"/>
            <w:tcMar>
              <w:top w:type="dxa" w:w="90"/>
              <w:left w:type="dxa" w:w="140"/>
              <w:bottom w:type="dxa" w:w="90"/>
              <w:right w:type="dxa" w:w="140"/>
            </w:tcMar>
          </w:tcPr>
          <w:p>
            <w:pPr>
              <w:spacing w:after="0" w:before="0"/>
            </w:pPr>
            <w:r>
              <w:rPr>
                <w:rFonts w:ascii="Calibri" w:cs="Calibri" w:eastAsia="Calibri" w:hAnsi="Calibri"/>
                <w:b/>
                <w:bCs/>
                <w:sz w:val="20"/>
                <w:szCs w:val="20"/>
              </w:rPr>
              <w:t xml:space="preserve">Designer</w:t>
            </w:r>
          </w:p>
        </w:tc>
        <w:tc>
          <w:tcPr>
            <w:tcW w:type="dxa" w:w="7560"/>
            <w:tcBorders>
              <w:top w:val="single" w:color="BFBFBF" w:sz="4"/>
              <w:left w:val="single" w:color="BFBFBF" w:sz="4"/>
              <w:bottom w:val="single" w:color="BFBFBF" w:sz="4"/>
              <w:right w:val="single" w:color="BFBFBF" w:sz="4"/>
            </w:tcBorders>
            <w:tcMar>
              <w:top w:type="dxa" w:w="90"/>
              <w:left w:type="dxa" w:w="140"/>
              <w:bottom w:type="dxa" w:w="90"/>
              <w:right w:type="dxa" w:w="140"/>
            </w:tcMar>
          </w:tcPr>
          <w:p>
            <w:pPr>
              <w:spacing w:after="0" w:before="0"/>
            </w:pPr>
            <w:r>
              <w:rPr>
                <w:rFonts w:ascii="Calibri" w:cs="Calibri" w:eastAsia="Calibri" w:hAnsi="Calibri"/>
                <w:b w:val="false"/>
                <w:bCs w:val="false"/>
                <w:sz w:val="20"/>
                <w:szCs w:val="20"/>
              </w:rPr>
              <w:t xml:space="preserve">Harry Huang (3D Design); Dino Hung (3D Animation); Ann Li (Graphic Design); Richard Tseng (Photography); Acer Industrial Design Team</w:t>
            </w:r>
          </w:p>
        </w:tc>
      </w:tr>
    </w:tbl>
    <w:p>
      <w:pPr>
        <w:pStyle w:val="Heading1"/>
        <w:spacing w:after="100" w:before="360"/>
      </w:pPr>
      <w:r>
        <w:rPr>
          <w:rFonts w:ascii="Calibri" w:cs="Calibri" w:eastAsia="Calibri" w:hAnsi="Calibri"/>
          <w:b/>
          <w:bCs/>
          <w:color w:val="AA0000"/>
          <w:sz w:val="30"/>
          <w:szCs w:val="30"/>
        </w:rPr>
        <w:t xml:space="preserve">1-3  Spec</w:t>
      </w:r>
    </w:p>
    <w:p>
      <w:pPr>
        <w:spacing w:after="40" w:before="120"/>
      </w:pPr>
      <w:r>
        <w:rPr>
          <w:rFonts w:ascii="Calibri" w:cs="Calibri" w:eastAsia="Calibri" w:hAnsi="Calibri"/>
          <w:b/>
          <w:bCs/>
          <w:color w:val="595959"/>
          <w:sz w:val="20"/>
          <w:szCs w:val="20"/>
        </w:rPr>
        <w:t xml:space="preserve">Specification field  (286 / 300 characters)</w:t>
      </w:r>
    </w:p>
    <w:p>
      <w:pPr>
        <w:pBdr>
          <w:top w:val="single" w:color="AA0000" w:sz="6" w:space="4"/>
          <w:bottom w:val="single" w:color="AA0000" w:sz="6" w:space="4"/>
        </w:pBdr>
        <w:shd w:fill="FFF7F7" w:color="auto" w:val="clear"/>
        <w:spacing w:after="120" w:before="0" w:line="300"/>
      </w:pPr>
      <w:r>
        <w:rPr>
          <w:rFonts w:ascii="Calibri" w:cs="Calibri" w:eastAsia="Calibri" w:hAnsi="Calibri"/>
          <w:sz w:val="22"/>
          <w:szCs w:val="22"/>
        </w:rPr>
        <w:t xml:space="preserve">7-inch FHD 120Hz Windows handheld PC. 292×112.7-123×28.5-48.4 mm; &lt;750 g (80 Whr)/&lt;700 g (60 Whr); plastic. Intel® Arc™ G3 Extreme; up to 24GB LPDDR5x, 1TB PCIe Gen 4 SSD, 80 Whr battery. Predator AeroBlade dual-fan (metal+plastic) + Vortex Flow. Full-size sticks, Hall-effect triggers.</w:t>
      </w:r>
    </w:p>
    <w:p>
      <w:pPr>
        <w:spacing w:after="40" w:before="120"/>
      </w:pPr>
      <w:r>
        <w:rPr>
          <w:rFonts w:ascii="Calibri" w:cs="Calibri" w:eastAsia="Calibri" w:hAnsi="Calibri"/>
          <w:b/>
          <w:bCs/>
          <w:color w:val="595959"/>
          <w:sz w:val="20"/>
          <w:szCs w:val="20"/>
        </w:rPr>
        <w:t xml:space="preserve">Market release / Launch / Opening date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c>
          <w:tcPr>
            <w:tcW w:type="dxa" w:w="3400"/>
            <w:tcBorders>
              <w:top w:val="single" w:color="BFBFBF" w:sz="4"/>
              <w:left w:val="single" w:color="BFBFBF" w:sz="4"/>
              <w:bottom w:val="single" w:color="BFBFBF" w:sz="4"/>
              <w:right w:val="single" w:color="BFBFBF" w:sz="4"/>
            </w:tcBorders>
            <w:shd w:fill="F2F2F2" w:color="auto" w:val="clear"/>
            <w:tcMar>
              <w:top w:type="dxa" w:w="90"/>
              <w:left w:type="dxa" w:w="140"/>
              <w:bottom w:type="dxa" w:w="90"/>
              <w:right w:type="dxa" w:w="140"/>
            </w:tcMar>
          </w:tcPr>
          <w:p>
            <w:pPr>
              <w:spacing w:after="0" w:before="0"/>
            </w:pPr>
            <w:r>
              <w:rPr>
                <w:rFonts w:ascii="Calibri" w:cs="Calibri" w:eastAsia="Calibri" w:hAnsi="Calibri"/>
                <w:b/>
                <w:bCs/>
                <w:sz w:val="20"/>
                <w:szCs w:val="20"/>
              </w:rPr>
              <w:t xml:space="preserve">Status (radio selection)</w:t>
            </w:r>
          </w:p>
        </w:tc>
        <w:tc>
          <w:tcPr>
            <w:tcW w:type="dxa" w:w="5960"/>
            <w:tcBorders>
              <w:top w:val="single" w:color="BFBFBF" w:sz="4"/>
              <w:left w:val="single" w:color="BFBFBF" w:sz="4"/>
              <w:bottom w:val="single" w:color="BFBFBF" w:sz="4"/>
              <w:right w:val="single" w:color="BFBFBF" w:sz="4"/>
            </w:tcBorders>
            <w:tcMar>
              <w:top w:type="dxa" w:w="90"/>
              <w:left w:type="dxa" w:w="140"/>
              <w:bottom w:type="dxa" w:w="90"/>
              <w:right w:type="dxa" w:w="140"/>
            </w:tcMar>
          </w:tcPr>
          <w:p>
            <w:pPr>
              <w:spacing w:after="0" w:before="0"/>
            </w:pPr>
            <w:r>
              <w:rPr>
                <w:rFonts w:ascii="Calibri" w:cs="Calibri" w:eastAsia="Calibri" w:hAnsi="Calibri"/>
                <w:b w:val="false"/>
                <w:bCs w:val="false"/>
                <w:sz w:val="20"/>
                <w:szCs w:val="20"/>
              </w:rPr>
              <w:t xml:space="preserve">To be on sale</w:t>
            </w:r>
          </w:p>
        </w:tc>
      </w:tr>
      <w:tr>
        <w:tc>
          <w:tcPr>
            <w:tcW w:type="dxa" w:w="3400"/>
            <w:tcBorders>
              <w:top w:val="single" w:color="BFBFBF" w:sz="4"/>
              <w:left w:val="single" w:color="BFBFBF" w:sz="4"/>
              <w:bottom w:val="single" w:color="BFBFBF" w:sz="4"/>
              <w:right w:val="single" w:color="BFBFBF" w:sz="4"/>
            </w:tcBorders>
            <w:shd w:fill="F2F2F2" w:color="auto" w:val="clear"/>
            <w:tcMar>
              <w:top w:type="dxa" w:w="90"/>
              <w:left w:type="dxa" w:w="140"/>
              <w:bottom w:type="dxa" w:w="90"/>
              <w:right w:type="dxa" w:w="140"/>
            </w:tcMar>
          </w:tcPr>
          <w:p>
            <w:pPr>
              <w:spacing w:after="0" w:before="0"/>
            </w:pPr>
            <w:r>
              <w:rPr>
                <w:rFonts w:ascii="Calibri" w:cs="Calibri" w:eastAsia="Calibri" w:hAnsi="Calibri"/>
                <w:b/>
                <w:bCs/>
                <w:sz w:val="20"/>
                <w:szCs w:val="20"/>
              </w:rPr>
              <w:t xml:space="preserve">Date</w:t>
            </w:r>
          </w:p>
        </w:tc>
        <w:tc>
          <w:tcPr>
            <w:tcW w:type="dxa" w:w="5960"/>
            <w:tcBorders>
              <w:top w:val="single" w:color="BFBFBF" w:sz="4"/>
              <w:left w:val="single" w:color="BFBFBF" w:sz="4"/>
              <w:bottom w:val="single" w:color="BFBFBF" w:sz="4"/>
              <w:right w:val="single" w:color="BFBFBF" w:sz="4"/>
            </w:tcBorders>
            <w:tcMar>
              <w:top w:type="dxa" w:w="90"/>
              <w:left w:type="dxa" w:w="140"/>
              <w:bottom w:type="dxa" w:w="90"/>
              <w:right w:type="dxa" w:w="140"/>
            </w:tcMar>
          </w:tcPr>
          <w:p>
            <w:pPr>
              <w:spacing w:after="0" w:before="0"/>
            </w:pPr>
            <w:r>
              <w:rPr>
                <w:rFonts w:ascii="Calibri" w:cs="Calibri" w:eastAsia="Calibri" w:hAnsi="Calibri"/>
                <w:b w:val="false"/>
                <w:bCs w:val="false"/>
                <w:sz w:val="20"/>
                <w:szCs w:val="20"/>
              </w:rPr>
              <w:t xml:space="preserve">2026/08/01  (First Customer Shipment)</w:t>
            </w:r>
          </w:p>
        </w:tc>
      </w:tr>
      <w:tr>
        <w:tc>
          <w:tcPr>
            <w:tcW w:type="dxa" w:w="3400"/>
            <w:tcBorders>
              <w:top w:val="single" w:color="BFBFBF" w:sz="4"/>
              <w:left w:val="single" w:color="BFBFBF" w:sz="4"/>
              <w:bottom w:val="single" w:color="BFBFBF" w:sz="4"/>
              <w:right w:val="single" w:color="BFBFBF" w:sz="4"/>
            </w:tcBorders>
            <w:shd w:fill="F2F2F2" w:color="auto" w:val="clear"/>
            <w:tcMar>
              <w:top w:type="dxa" w:w="90"/>
              <w:left w:type="dxa" w:w="140"/>
              <w:bottom w:type="dxa" w:w="90"/>
              <w:right w:type="dxa" w:w="140"/>
            </w:tcMar>
          </w:tcPr>
          <w:p>
            <w:pPr>
              <w:spacing w:after="0" w:before="0"/>
            </w:pPr>
            <w:r>
              <w:rPr>
                <w:rFonts w:ascii="Calibri" w:cs="Calibri" w:eastAsia="Calibri" w:hAnsi="Calibri"/>
                <w:b/>
                <w:bCs/>
                <w:sz w:val="20"/>
                <w:szCs w:val="20"/>
              </w:rPr>
              <w:t xml:space="preserve">Sales area</w:t>
            </w:r>
          </w:p>
        </w:tc>
        <w:tc>
          <w:tcPr>
            <w:tcW w:type="dxa" w:w="5960"/>
            <w:tcBorders>
              <w:top w:val="single" w:color="BFBFBF" w:sz="4"/>
              <w:left w:val="single" w:color="BFBFBF" w:sz="4"/>
              <w:bottom w:val="single" w:color="BFBFBF" w:sz="4"/>
              <w:right w:val="single" w:color="BFBFBF" w:sz="4"/>
            </w:tcBorders>
            <w:tcMar>
              <w:top w:type="dxa" w:w="90"/>
              <w:left w:type="dxa" w:w="140"/>
              <w:bottom w:type="dxa" w:w="90"/>
              <w:right w:type="dxa" w:w="140"/>
            </w:tcMar>
          </w:tcPr>
          <w:p>
            <w:pPr>
              <w:spacing w:after="0" w:before="0"/>
            </w:pPr>
            <w:r>
              <w:rPr>
                <w:rFonts w:ascii="Calibri" w:cs="Calibri" w:eastAsia="Calibri" w:hAnsi="Calibri"/>
                <w:b w:val="false"/>
                <w:bCs w:val="false"/>
                <w:sz w:val="20"/>
                <w:szCs w:val="20"/>
              </w:rPr>
              <w:t xml:space="preserve">Global  [confirm specific region selection in dropdown]</w:t>
            </w:r>
          </w:p>
        </w:tc>
      </w:tr>
      <w:tr>
        <w:tc>
          <w:tcPr>
            <w:tcW w:type="dxa" w:w="3400"/>
            <w:tcBorders>
              <w:top w:val="single" w:color="BFBFBF" w:sz="4"/>
              <w:left w:val="single" w:color="BFBFBF" w:sz="4"/>
              <w:bottom w:val="single" w:color="BFBFBF" w:sz="4"/>
              <w:right w:val="single" w:color="BFBFBF" w:sz="4"/>
            </w:tcBorders>
            <w:shd w:fill="F2F2F2" w:color="auto" w:val="clear"/>
            <w:tcMar>
              <w:top w:type="dxa" w:w="90"/>
              <w:left w:type="dxa" w:w="140"/>
              <w:bottom w:type="dxa" w:w="90"/>
              <w:right w:type="dxa" w:w="140"/>
            </w:tcMar>
          </w:tcPr>
          <w:p>
            <w:pPr>
              <w:spacing w:after="0" w:before="0"/>
            </w:pPr>
            <w:r>
              <w:rPr>
                <w:rFonts w:ascii="Calibri" w:cs="Calibri" w:eastAsia="Calibri" w:hAnsi="Calibri"/>
                <w:b/>
                <w:bCs/>
                <w:sz w:val="20"/>
                <w:szCs w:val="20"/>
              </w:rPr>
              <w:t xml:space="preserve">Construction site</w:t>
            </w:r>
          </w:p>
        </w:tc>
        <w:tc>
          <w:tcPr>
            <w:tcW w:type="dxa" w:w="5960"/>
            <w:tcBorders>
              <w:top w:val="single" w:color="BFBFBF" w:sz="4"/>
              <w:left w:val="single" w:color="BFBFBF" w:sz="4"/>
              <w:bottom w:val="single" w:color="BFBFBF" w:sz="4"/>
              <w:right w:val="single" w:color="BFBFBF" w:sz="4"/>
            </w:tcBorders>
            <w:tcMar>
              <w:top w:type="dxa" w:w="90"/>
              <w:left w:type="dxa" w:w="140"/>
              <w:bottom w:type="dxa" w:w="90"/>
              <w:right w:type="dxa" w:w="140"/>
            </w:tcMar>
          </w:tcPr>
          <w:p>
            <w:pPr>
              <w:spacing w:after="0" w:before="0"/>
            </w:pPr>
            <w:r>
              <w:rPr>
                <w:rFonts w:ascii="Calibri" w:cs="Calibri" w:eastAsia="Calibri" w:hAnsi="Calibri"/>
                <w:b w:val="false"/>
                <w:bCs w:val="false"/>
                <w:sz w:val="20"/>
                <w:szCs w:val="20"/>
              </w:rPr>
              <w:t xml:space="preserve">N/A (consumer electronics product)</w:t>
            </w:r>
          </w:p>
        </w:tc>
      </w:tr>
    </w:tbl>
    <w:p>
      <w:pPr>
        <w:spacing w:after="40" w:before="120"/>
      </w:pPr>
      <w:r>
        <w:rPr>
          <w:rFonts w:ascii="Calibri" w:cs="Calibri" w:eastAsia="Calibri" w:hAnsi="Calibri"/>
          <w:b/>
          <w:bCs/>
          <w:color w:val="595959"/>
          <w:sz w:val="20"/>
          <w:szCs w:val="20"/>
        </w:rPr>
        <w:t xml:space="preserve">Sales area &amp; Construction site</w:t>
      </w:r>
    </w:p>
    <w:p>
      <w:pPr>
        <w:spacing w:after="120" w:before="0" w:line="300"/>
        <w:jc w:val="left"/>
      </w:pPr>
      <w:r>
        <w:rPr>
          <w:rFonts w:ascii="Calibri" w:cs="Calibri" w:eastAsia="Calibri" w:hAnsi="Calibri"/>
          <w:sz w:val="22"/>
          <w:szCs w:val="22"/>
        </w:rPr>
        <w:t xml:space="preserve">Sales area: Global (initial publish: USA / Canada per copymaster — confirm dropdown). Construction site: N/A.</w:t>
      </w:r>
    </w:p>
    <w:p>
      <w:pPr>
        <w:spacing w:after="40" w:before="120"/>
      </w:pPr>
      <w:r>
        <w:rPr>
          <w:rFonts w:ascii="Calibri" w:cs="Calibri" w:eastAsia="Calibri" w:hAnsi="Calibri"/>
          <w:b/>
          <w:bCs/>
          <w:color w:val="595959"/>
          <w:sz w:val="20"/>
          <w:szCs w:val="20"/>
        </w:rPr>
        <w:t xml:space="preserve">Retail price or total project cost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c>
          <w:tcPr>
            <w:tcW w:type="dxa" w:w="3400"/>
            <w:tcBorders>
              <w:top w:val="single" w:color="BFBFBF" w:sz="4"/>
              <w:left w:val="single" w:color="BFBFBF" w:sz="4"/>
              <w:bottom w:val="single" w:color="BFBFBF" w:sz="4"/>
              <w:right w:val="single" w:color="BFBFBF" w:sz="4"/>
            </w:tcBorders>
            <w:shd w:fill="F2F2F2" w:color="auto" w:val="clear"/>
            <w:tcMar>
              <w:top w:type="dxa" w:w="90"/>
              <w:left w:type="dxa" w:w="140"/>
              <w:bottom w:type="dxa" w:w="90"/>
              <w:right w:type="dxa" w:w="140"/>
            </w:tcMar>
          </w:tcPr>
          <w:p>
            <w:pPr>
              <w:spacing w:after="0" w:before="0"/>
            </w:pPr>
            <w:r>
              <w:rPr>
                <w:rFonts w:ascii="Calibri" w:cs="Calibri" w:eastAsia="Calibri" w:hAnsi="Calibri"/>
                <w:b/>
                <w:bCs/>
                <w:sz w:val="20"/>
                <w:szCs w:val="20"/>
              </w:rPr>
              <w:t xml:space="preserve">Pricing model</w:t>
            </w:r>
          </w:p>
        </w:tc>
        <w:tc>
          <w:tcPr>
            <w:tcW w:type="dxa" w:w="5960"/>
            <w:tcBorders>
              <w:top w:val="single" w:color="BFBFBF" w:sz="4"/>
              <w:left w:val="single" w:color="BFBFBF" w:sz="4"/>
              <w:bottom w:val="single" w:color="BFBFBF" w:sz="4"/>
              <w:right w:val="single" w:color="BFBFBF" w:sz="4"/>
            </w:tcBorders>
            <w:tcMar>
              <w:top w:type="dxa" w:w="90"/>
              <w:left w:type="dxa" w:w="140"/>
              <w:bottom w:type="dxa" w:w="90"/>
              <w:right w:type="dxa" w:w="140"/>
            </w:tcMar>
          </w:tcPr>
          <w:p>
            <w:pPr>
              <w:spacing w:after="0" w:before="0"/>
            </w:pPr>
            <w:r>
              <w:rPr>
                <w:rFonts w:ascii="Calibri" w:cs="Calibri" w:eastAsia="Calibri" w:hAnsi="Calibri"/>
                <w:b w:val="false"/>
                <w:bCs w:val="false"/>
                <w:sz w:val="20"/>
                <w:szCs w:val="20"/>
              </w:rPr>
              <w:t xml:space="preserve">Retail price  [or Open Price — confirm]</w:t>
            </w:r>
          </w:p>
        </w:tc>
      </w:tr>
      <w:tr>
        <w:tc>
          <w:tcPr>
            <w:tcW w:type="dxa" w:w="3400"/>
            <w:tcBorders>
              <w:top w:val="single" w:color="BFBFBF" w:sz="4"/>
              <w:left w:val="single" w:color="BFBFBF" w:sz="4"/>
              <w:bottom w:val="single" w:color="BFBFBF" w:sz="4"/>
              <w:right w:val="single" w:color="BFBFBF" w:sz="4"/>
            </w:tcBorders>
            <w:shd w:fill="F2F2F2" w:color="auto" w:val="clear"/>
            <w:tcMar>
              <w:top w:type="dxa" w:w="90"/>
              <w:left w:type="dxa" w:w="140"/>
              <w:bottom w:type="dxa" w:w="90"/>
              <w:right w:type="dxa" w:w="140"/>
            </w:tcMar>
          </w:tcPr>
          <w:p>
            <w:pPr>
              <w:spacing w:after="0" w:before="0"/>
            </w:pPr>
            <w:r>
              <w:rPr>
                <w:rFonts w:ascii="Calibri" w:cs="Calibri" w:eastAsia="Calibri" w:hAnsi="Calibri"/>
                <w:b/>
                <w:bCs/>
                <w:sz w:val="20"/>
                <w:szCs w:val="20"/>
              </w:rPr>
              <w:t xml:space="preserve">Price (JPY)</w:t>
            </w:r>
          </w:p>
        </w:tc>
        <w:tc>
          <w:tcPr>
            <w:tcW w:type="dxa" w:w="5960"/>
            <w:tcBorders>
              <w:top w:val="single" w:color="BFBFBF" w:sz="4"/>
              <w:left w:val="single" w:color="BFBFBF" w:sz="4"/>
              <w:bottom w:val="single" w:color="BFBFBF" w:sz="4"/>
              <w:right w:val="single" w:color="BFBFBF" w:sz="4"/>
            </w:tcBorders>
            <w:tcMar>
              <w:top w:type="dxa" w:w="90"/>
              <w:left w:type="dxa" w:w="140"/>
              <w:bottom w:type="dxa" w:w="90"/>
              <w:right w:type="dxa" w:w="140"/>
            </w:tcMar>
          </w:tcPr>
          <w:p>
            <w:pPr>
              <w:spacing w:after="0" w:before="0"/>
            </w:pPr>
            <w:r>
              <w:rPr>
                <w:rFonts w:ascii="Calibri" w:cs="Calibri" w:eastAsia="Calibri" w:hAnsi="Calibri"/>
                <w:b w:val="false"/>
                <w:bCs w:val="false"/>
                <w:sz w:val="20"/>
                <w:szCs w:val="20"/>
              </w:rPr>
              <w:t xml:space="preserve">[to confirm — Acer pricing team]</w:t>
            </w:r>
          </w:p>
        </w:tc>
      </w:tr>
      <w:tr>
        <w:tc>
          <w:tcPr>
            <w:tcW w:type="dxa" w:w="3400"/>
            <w:tcBorders>
              <w:top w:val="single" w:color="BFBFBF" w:sz="4"/>
              <w:left w:val="single" w:color="BFBFBF" w:sz="4"/>
              <w:bottom w:val="single" w:color="BFBFBF" w:sz="4"/>
              <w:right w:val="single" w:color="BFBFBF" w:sz="4"/>
            </w:tcBorders>
            <w:shd w:fill="F2F2F2" w:color="auto" w:val="clear"/>
            <w:tcMar>
              <w:top w:type="dxa" w:w="90"/>
              <w:left w:type="dxa" w:w="140"/>
              <w:bottom w:type="dxa" w:w="90"/>
              <w:right w:type="dxa" w:w="140"/>
            </w:tcMar>
          </w:tcPr>
          <w:p>
            <w:pPr>
              <w:spacing w:after="0" w:before="0"/>
            </w:pPr>
            <w:r>
              <w:rPr>
                <w:rFonts w:ascii="Calibri" w:cs="Calibri" w:eastAsia="Calibri" w:hAnsi="Calibri"/>
                <w:b/>
                <w:bCs/>
                <w:sz w:val="20"/>
                <w:szCs w:val="20"/>
              </w:rPr>
              <w:t xml:space="preserve">Remarks</w:t>
            </w:r>
          </w:p>
        </w:tc>
        <w:tc>
          <w:tcPr>
            <w:tcW w:type="dxa" w:w="5960"/>
            <w:tcBorders>
              <w:top w:val="single" w:color="BFBFBF" w:sz="4"/>
              <w:left w:val="single" w:color="BFBFBF" w:sz="4"/>
              <w:bottom w:val="single" w:color="BFBFBF" w:sz="4"/>
              <w:right w:val="single" w:color="BFBFBF" w:sz="4"/>
            </w:tcBorders>
            <w:tcMar>
              <w:top w:type="dxa" w:w="90"/>
              <w:left w:type="dxa" w:w="140"/>
              <w:bottom w:type="dxa" w:w="90"/>
              <w:right w:type="dxa" w:w="140"/>
            </w:tcMar>
          </w:tcPr>
          <w:p>
            <w:pPr>
              <w:spacing w:after="0" w:before="0"/>
            </w:pPr>
            <w:r>
              <w:rPr>
                <w:rFonts w:ascii="Calibri" w:cs="Calibri" w:eastAsia="Calibri" w:hAnsi="Calibri"/>
                <w:b w:val="false"/>
                <w:bCs w:val="false"/>
                <w:sz w:val="20"/>
                <w:szCs w:val="20"/>
              </w:rPr>
              <w:t xml:space="preserve">Final retail price varies by region and configuration (60 Whr vs 80 Whr; memory / storage tier).</w:t>
            </w:r>
          </w:p>
        </w:tc>
      </w:tr>
    </w:tbl>
    <w:p>
      <w:pPr>
        <w:spacing w:after="40" w:before="120"/>
      </w:pPr>
      <w:r>
        <w:rPr>
          <w:rFonts w:ascii="Calibri" w:cs="Calibri" w:eastAsia="Calibri" w:hAnsi="Calibri"/>
          <w:b/>
          <w:bCs/>
          <w:color w:val="595959"/>
          <w:sz w:val="20"/>
          <w:szCs w:val="20"/>
        </w:rPr>
        <w:t xml:space="preserve">URL of the entry's information  (0 / 200 characters)</w:t>
      </w:r>
    </w:p>
    <w:p>
      <w:pPr>
        <w:pBdr>
          <w:top w:val="single" w:color="AA0000" w:sz="6" w:space="4"/>
          <w:bottom w:val="single" w:color="AA0000" w:sz="6" w:space="4"/>
        </w:pBdr>
        <w:shd w:fill="FFF7F7" w:color="auto" w:val="clear"/>
        <w:spacing w:after="120" w:before="0" w:line="300"/>
      </w:pPr>
      <w:r>
        <w:rPr>
          <w:rFonts w:ascii="Calibri" w:cs="Calibri" w:eastAsia="Calibri" w:hAnsi="Calibri"/>
          <w:sz w:val="22"/>
          <w:szCs w:val="22"/>
        </w:rPr>
        <w:t xml:space="preserve">https://www.acer.com/us-en/predator/handhelds/predator-atlas-7  [confirm final URL with Acer.com team]</w:t>
      </w:r>
    </w:p>
    <w:p>
      <w:pPr>
        <w:pStyle w:val="Heading1"/>
        <w:spacing w:after="100" w:before="360"/>
      </w:pPr>
      <w:r>
        <w:rPr>
          <w:rFonts w:ascii="Calibri" w:cs="Calibri" w:eastAsia="Calibri" w:hAnsi="Calibri"/>
          <w:b/>
          <w:bCs/>
          <w:color w:val="AA0000"/>
          <w:sz w:val="30"/>
          <w:szCs w:val="30"/>
        </w:rPr>
        <w:t xml:space="preserve">1-4  Images / Detail material / Data</w:t>
      </w:r>
    </w:p>
    <w:p>
      <w:pPr>
        <w:spacing w:after="40" w:before="120"/>
      </w:pPr>
      <w:r>
        <w:rPr>
          <w:rFonts w:ascii="Calibri" w:cs="Calibri" w:eastAsia="Calibri" w:hAnsi="Calibri"/>
          <w:b/>
          <w:bCs/>
          <w:color w:val="595959"/>
          <w:sz w:val="20"/>
          <w:szCs w:val="20"/>
        </w:rPr>
        <w:t xml:space="preserve">Form requirements</w:t>
      </w:r>
    </w:p>
    <w:p>
      <w:pPr>
        <w:pStyle w:val="ListParagraph"/>
        <w:numPr>
          <w:ilvl w:val="0"/>
          <w:numId w:val="2"/>
        </w:numPr>
        <w:spacing w:after="40" w:before="0"/>
      </w:pPr>
      <w:r>
        <w:rPr>
          <w:rFonts w:ascii="Calibri" w:cs="Calibri" w:eastAsia="Calibri" w:hAnsi="Calibri"/>
          <w:sz w:val="22"/>
          <w:szCs w:val="22"/>
        </w:rPr>
        <w:t xml:space="preserve">JPEG format (RGB), 350 dpi or short side ≥ 190 mm; square or rectangular</w:t>
      </w:r>
    </w:p>
    <w:p>
      <w:pPr>
        <w:pStyle w:val="ListParagraph"/>
        <w:numPr>
          <w:ilvl w:val="0"/>
          <w:numId w:val="2"/>
        </w:numPr>
        <w:spacing w:after="40" w:before="0"/>
      </w:pPr>
      <w:r>
        <w:rPr>
          <w:rFonts w:ascii="Calibri" w:cs="Calibri" w:eastAsia="Calibri" w:hAnsi="Calibri"/>
          <w:sz w:val="22"/>
          <w:szCs w:val="22"/>
        </w:rPr>
        <w:t xml:space="preserve">Aspect ratio 4:3 landscape recommended</w:t>
      </w:r>
    </w:p>
    <w:p>
      <w:pPr>
        <w:pStyle w:val="ListParagraph"/>
        <w:numPr>
          <w:ilvl w:val="0"/>
          <w:numId w:val="2"/>
        </w:numPr>
        <w:spacing w:after="40" w:before="0"/>
      </w:pPr>
      <w:r>
        <w:rPr>
          <w:rFonts w:ascii="Calibri" w:cs="Calibri" w:eastAsia="Calibri" w:hAnsi="Calibri"/>
          <w:sz w:val="22"/>
          <w:szCs w:val="22"/>
        </w:rPr>
        <w:t xml:space="preserve">File size: up to 2 MB per image; filenames in half-width alphanumeric</w:t>
      </w:r>
    </w:p>
    <w:p>
      <w:pPr>
        <w:pStyle w:val="ListParagraph"/>
        <w:numPr>
          <w:ilvl w:val="0"/>
          <w:numId w:val="2"/>
        </w:numPr>
        <w:spacing w:after="40" w:before="0"/>
      </w:pPr>
      <w:r>
        <w:rPr>
          <w:rFonts w:ascii="Calibri" w:cs="Calibri" w:eastAsia="Calibri" w:hAnsi="Calibri"/>
          <w:sz w:val="22"/>
          <w:szCs w:val="22"/>
        </w:rPr>
        <w:t xml:space="preserve">Main image will be released on the website and yearbook when entry wins</w:t>
      </w:r>
    </w:p>
    <w:p>
      <w:pPr>
        <w:pStyle w:val="ListParagraph"/>
        <w:numPr>
          <w:ilvl w:val="0"/>
          <w:numId w:val="2"/>
        </w:numPr>
        <w:spacing w:after="40" w:before="0"/>
      </w:pPr>
      <w:r>
        <w:rPr>
          <w:rFonts w:ascii="Calibri" w:cs="Calibri" w:eastAsia="Calibri" w:hAnsi="Calibri"/>
          <w:sz w:val="22"/>
          <w:szCs w:val="22"/>
        </w:rPr>
        <w:t xml:space="preserve">Supplemental materials may include PDF (≤ 2 MB)</w:t>
      </w:r>
    </w:p>
    <w:p>
      <w:pPr>
        <w:spacing w:after="40" w:before="120"/>
      </w:pPr>
      <w:r>
        <w:rPr>
          <w:rFonts w:ascii="Calibri" w:cs="Calibri" w:eastAsia="Calibri" w:hAnsi="Calibri"/>
          <w:b/>
          <w:bCs/>
          <w:color w:val="595959"/>
          <w:sz w:val="20"/>
          <w:szCs w:val="20"/>
        </w:rPr>
        <w:t xml:space="preserve">Proposed asset list (3 main images + supplemental PDFs)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FBFBF" w:sz="4"/>
              <w:left w:val="single" w:color="BFBFBF" w:sz="4"/>
              <w:bottom w:val="single" w:color="BFBFBF" w:sz="4"/>
              <w:right w:val="single" w:color="BFBFBF" w:sz="4"/>
            </w:tcBorders>
            <w:shd w:fill="F2F2F2" w:color="auto" w:val="clear"/>
            <w:tcMar>
              <w:top w:type="dxa" w:w="90"/>
              <w:left w:type="dxa" w:w="140"/>
              <w:bottom w:type="dxa" w:w="90"/>
              <w:right w:type="dxa" w:w="140"/>
            </w:tcMar>
          </w:tcPr>
          <w:p>
            <w:pPr>
              <w:spacing w:after="0" w:before="0"/>
            </w:pPr>
            <w:r>
              <w:rPr>
                <w:rFonts w:ascii="Calibri" w:cs="Calibri" w:eastAsia="Calibri" w:hAnsi="Calibri"/>
                <w:b/>
                <w:bCs/>
                <w:sz w:val="20"/>
                <w:szCs w:val="20"/>
              </w:rPr>
              <w:t xml:space="preserve">Hero / Main image</w:t>
            </w:r>
          </w:p>
        </w:tc>
        <w:tc>
          <w:tcPr>
            <w:tcW w:type="dxa" w:w="6960"/>
            <w:tcBorders>
              <w:top w:val="single" w:color="BFBFBF" w:sz="4"/>
              <w:left w:val="single" w:color="BFBFBF" w:sz="4"/>
              <w:bottom w:val="single" w:color="BFBFBF" w:sz="4"/>
              <w:right w:val="single" w:color="BFBFBF" w:sz="4"/>
            </w:tcBorders>
            <w:tcMar>
              <w:top w:type="dxa" w:w="90"/>
              <w:left w:type="dxa" w:w="140"/>
              <w:bottom w:type="dxa" w:w="90"/>
              <w:right w:type="dxa" w:w="140"/>
            </w:tcMar>
          </w:tcPr>
          <w:p>
            <w:pPr>
              <w:spacing w:after="0" w:before="0"/>
            </w:pPr>
            <w:r>
              <w:rPr>
                <w:rFonts w:ascii="Calibri" w:cs="Calibri" w:eastAsia="Calibri" w:hAnsi="Calibri"/>
                <w:b w:val="false"/>
                <w:bCs w:val="false"/>
                <w:sz w:val="20"/>
                <w:szCs w:val="20"/>
              </w:rPr>
              <w:t xml:space="preserve">Three-quarter front product shot on neutral background — Richard Tseng</w:t>
            </w:r>
          </w:p>
        </w:tc>
      </w:tr>
      <w:tr>
        <w:tc>
          <w:tcPr>
            <w:tcW w:type="dxa" w:w="2400"/>
            <w:tcBorders>
              <w:top w:val="single" w:color="BFBFBF" w:sz="4"/>
              <w:left w:val="single" w:color="BFBFBF" w:sz="4"/>
              <w:bottom w:val="single" w:color="BFBFBF" w:sz="4"/>
              <w:right w:val="single" w:color="BFBFBF" w:sz="4"/>
            </w:tcBorders>
            <w:shd w:fill="F2F2F2" w:color="auto" w:val="clear"/>
            <w:tcMar>
              <w:top w:type="dxa" w:w="90"/>
              <w:left w:type="dxa" w:w="140"/>
              <w:bottom w:type="dxa" w:w="90"/>
              <w:right w:type="dxa" w:w="140"/>
            </w:tcMar>
          </w:tcPr>
          <w:p>
            <w:pPr>
              <w:spacing w:after="0" w:before="0"/>
            </w:pPr>
            <w:r>
              <w:rPr>
                <w:rFonts w:ascii="Calibri" w:cs="Calibri" w:eastAsia="Calibri" w:hAnsi="Calibri"/>
                <w:b/>
                <w:bCs/>
                <w:sz w:val="20"/>
                <w:szCs w:val="20"/>
              </w:rPr>
              <w:t xml:space="preserve">Image 2</w:t>
            </w:r>
          </w:p>
        </w:tc>
        <w:tc>
          <w:tcPr>
            <w:tcW w:type="dxa" w:w="6960"/>
            <w:tcBorders>
              <w:top w:val="single" w:color="BFBFBF" w:sz="4"/>
              <w:left w:val="single" w:color="BFBFBF" w:sz="4"/>
              <w:bottom w:val="single" w:color="BFBFBF" w:sz="4"/>
              <w:right w:val="single" w:color="BFBFBF" w:sz="4"/>
            </w:tcBorders>
            <w:tcMar>
              <w:top w:type="dxa" w:w="90"/>
              <w:left w:type="dxa" w:w="140"/>
              <w:bottom w:type="dxa" w:w="90"/>
              <w:right w:type="dxa" w:w="140"/>
            </w:tcMar>
          </w:tcPr>
          <w:p>
            <w:pPr>
              <w:spacing w:after="0" w:before="0"/>
            </w:pPr>
            <w:r>
              <w:rPr>
                <w:rFonts w:ascii="Calibri" w:cs="Calibri" w:eastAsia="Calibri" w:hAnsi="Calibri"/>
                <w:b w:val="false"/>
                <w:bCs w:val="false"/>
                <w:sz w:val="20"/>
                <w:szCs w:val="20"/>
              </w:rPr>
              <w:t xml:space="preserve">Rear view showing macro buttons and Predator AeroBlade exhaust geometry — Richard Tseng</w:t>
            </w:r>
          </w:p>
        </w:tc>
      </w:tr>
      <w:tr>
        <w:tc>
          <w:tcPr>
            <w:tcW w:type="dxa" w:w="2400"/>
            <w:tcBorders>
              <w:top w:val="single" w:color="BFBFBF" w:sz="4"/>
              <w:left w:val="single" w:color="BFBFBF" w:sz="4"/>
              <w:bottom w:val="single" w:color="BFBFBF" w:sz="4"/>
              <w:right w:val="single" w:color="BFBFBF" w:sz="4"/>
            </w:tcBorders>
            <w:shd w:fill="F2F2F2" w:color="auto" w:val="clear"/>
            <w:tcMar>
              <w:top w:type="dxa" w:w="90"/>
              <w:left w:type="dxa" w:w="140"/>
              <w:bottom w:type="dxa" w:w="90"/>
              <w:right w:type="dxa" w:w="140"/>
            </w:tcMar>
          </w:tcPr>
          <w:p>
            <w:pPr>
              <w:spacing w:after="0" w:before="0"/>
            </w:pPr>
            <w:r>
              <w:rPr>
                <w:rFonts w:ascii="Calibri" w:cs="Calibri" w:eastAsia="Calibri" w:hAnsi="Calibri"/>
                <w:b/>
                <w:bCs/>
                <w:sz w:val="20"/>
                <w:szCs w:val="20"/>
              </w:rPr>
              <w:t xml:space="preserve">Image 3</w:t>
            </w:r>
          </w:p>
        </w:tc>
        <w:tc>
          <w:tcPr>
            <w:tcW w:type="dxa" w:w="6960"/>
            <w:tcBorders>
              <w:top w:val="single" w:color="BFBFBF" w:sz="4"/>
              <w:left w:val="single" w:color="BFBFBF" w:sz="4"/>
              <w:bottom w:val="single" w:color="BFBFBF" w:sz="4"/>
              <w:right w:val="single" w:color="BFBFBF" w:sz="4"/>
            </w:tcBorders>
            <w:tcMar>
              <w:top w:type="dxa" w:w="90"/>
              <w:left w:type="dxa" w:w="140"/>
              <w:bottom w:type="dxa" w:w="90"/>
              <w:right w:type="dxa" w:w="140"/>
            </w:tcMar>
          </w:tcPr>
          <w:p>
            <w:pPr>
              <w:spacing w:after="0" w:before="0"/>
            </w:pPr>
            <w:r>
              <w:rPr>
                <w:rFonts w:ascii="Calibri" w:cs="Calibri" w:eastAsia="Calibri" w:hAnsi="Calibri"/>
                <w:b w:val="false"/>
                <w:bCs w:val="false"/>
                <w:sz w:val="20"/>
                <w:szCs w:val="20"/>
              </w:rPr>
              <w:t xml:space="preserve">In-hand context shot demonstrating full-size controls at scale — Richard Tseng</w:t>
            </w:r>
          </w:p>
        </w:tc>
      </w:tr>
      <w:tr>
        <w:tc>
          <w:tcPr>
            <w:tcW w:type="dxa" w:w="2400"/>
            <w:tcBorders>
              <w:top w:val="single" w:color="BFBFBF" w:sz="4"/>
              <w:left w:val="single" w:color="BFBFBF" w:sz="4"/>
              <w:bottom w:val="single" w:color="BFBFBF" w:sz="4"/>
              <w:right w:val="single" w:color="BFBFBF" w:sz="4"/>
            </w:tcBorders>
            <w:shd w:fill="F2F2F2" w:color="auto" w:val="clear"/>
            <w:tcMar>
              <w:top w:type="dxa" w:w="90"/>
              <w:left w:type="dxa" w:w="140"/>
              <w:bottom w:type="dxa" w:w="90"/>
              <w:right w:type="dxa" w:w="140"/>
            </w:tcMar>
          </w:tcPr>
          <w:p>
            <w:pPr>
              <w:spacing w:after="0" w:before="0"/>
            </w:pPr>
            <w:r>
              <w:rPr>
                <w:rFonts w:ascii="Calibri" w:cs="Calibri" w:eastAsia="Calibri" w:hAnsi="Calibri"/>
                <w:b/>
                <w:bCs/>
                <w:sz w:val="20"/>
                <w:szCs w:val="20"/>
              </w:rPr>
              <w:t xml:space="preserve">Supplemental PDF</w:t>
            </w:r>
          </w:p>
        </w:tc>
        <w:tc>
          <w:tcPr>
            <w:tcW w:type="dxa" w:w="6960"/>
            <w:tcBorders>
              <w:top w:val="single" w:color="BFBFBF" w:sz="4"/>
              <w:left w:val="single" w:color="BFBFBF" w:sz="4"/>
              <w:bottom w:val="single" w:color="BFBFBF" w:sz="4"/>
              <w:right w:val="single" w:color="BFBFBF" w:sz="4"/>
            </w:tcBorders>
            <w:tcMar>
              <w:top w:type="dxa" w:w="90"/>
              <w:left w:type="dxa" w:w="140"/>
              <w:bottom w:type="dxa" w:w="90"/>
              <w:right w:type="dxa" w:w="140"/>
            </w:tcMar>
          </w:tcPr>
          <w:p>
            <w:pPr>
              <w:spacing w:after="0" w:before="0"/>
            </w:pPr>
            <w:r>
              <w:rPr>
                <w:rFonts w:ascii="Calibri" w:cs="Calibri" w:eastAsia="Calibri" w:hAnsi="Calibri"/>
                <w:b w:val="false"/>
                <w:bCs w:val="false"/>
                <w:sz w:val="20"/>
                <w:szCs w:val="20"/>
              </w:rPr>
              <w:t xml:space="preserve">Predator AeroBlade cooling section diagram (89-blade, 0.1 mm, Vortex Flow) — Dino Hung</w:t>
            </w:r>
          </w:p>
        </w:tc>
      </w:tr>
      <w:tr>
        <w:tc>
          <w:tcPr>
            <w:tcW w:type="dxa" w:w="2400"/>
            <w:tcBorders>
              <w:top w:val="single" w:color="BFBFBF" w:sz="4"/>
              <w:left w:val="single" w:color="BFBFBF" w:sz="4"/>
              <w:bottom w:val="single" w:color="BFBFBF" w:sz="4"/>
              <w:right w:val="single" w:color="BFBFBF" w:sz="4"/>
            </w:tcBorders>
            <w:shd w:fill="F2F2F2" w:color="auto" w:val="clear"/>
            <w:tcMar>
              <w:top w:type="dxa" w:w="90"/>
              <w:left w:type="dxa" w:w="140"/>
              <w:bottom w:type="dxa" w:w="90"/>
              <w:right w:type="dxa" w:w="140"/>
            </w:tcMar>
          </w:tcPr>
          <w:p>
            <w:pPr>
              <w:spacing w:after="0" w:before="0"/>
            </w:pPr>
            <w:r>
              <w:rPr>
                <w:rFonts w:ascii="Calibri" w:cs="Calibri" w:eastAsia="Calibri" w:hAnsi="Calibri"/>
                <w:b/>
                <w:bCs/>
                <w:sz w:val="20"/>
                <w:szCs w:val="20"/>
              </w:rPr>
              <w:t xml:space="preserve">Supplemental PDF</w:t>
            </w:r>
          </w:p>
        </w:tc>
        <w:tc>
          <w:tcPr>
            <w:tcW w:type="dxa" w:w="6960"/>
            <w:tcBorders>
              <w:top w:val="single" w:color="BFBFBF" w:sz="4"/>
              <w:left w:val="single" w:color="BFBFBF" w:sz="4"/>
              <w:bottom w:val="single" w:color="BFBFBF" w:sz="4"/>
              <w:right w:val="single" w:color="BFBFBF" w:sz="4"/>
            </w:tcBorders>
            <w:tcMar>
              <w:top w:type="dxa" w:w="90"/>
              <w:left w:type="dxa" w:w="140"/>
              <w:bottom w:type="dxa" w:w="90"/>
              <w:right w:type="dxa" w:w="140"/>
            </w:tcMar>
          </w:tcPr>
          <w:p>
            <w:pPr>
              <w:spacing w:after="0" w:before="0"/>
            </w:pPr>
            <w:r>
              <w:rPr>
                <w:rFonts w:ascii="Calibri" w:cs="Calibri" w:eastAsia="Calibri" w:hAnsi="Calibri"/>
                <w:b w:val="false"/>
                <w:bCs w:val="false"/>
                <w:sz w:val="20"/>
                <w:szCs w:val="20"/>
              </w:rPr>
              <w:t xml:space="preserve">Floor plan / exploded view of internal chassis architecture — Acer Industrial Design Team</w:t>
            </w:r>
          </w:p>
        </w:tc>
      </w:tr>
    </w:tbl>
    <w:p>
      <w:pPr>
        <w:pBdr>
          <w:bottom w:val="single" w:color="BFBFBF" w:sz="6" w:space="1"/>
        </w:pBdr>
        <w:spacing w:after="200" w:before="0"/>
      </w:pPr>
      <w:r>
        <w:t xml:space="preserve"/>
      </w:r>
    </w:p>
    <w:p>
      <w:r>
        <w:br w:type="page"/>
      </w:r>
    </w:p>
    <w:p>
      <w:pPr>
        <w:pStyle w:val="Heading1"/>
        <w:spacing w:after="100" w:before="360"/>
      </w:pPr>
      <w:r>
        <w:rPr>
          <w:rFonts w:ascii="Calibri" w:cs="Calibri" w:eastAsia="Calibri" w:hAnsi="Calibri"/>
          <w:b/>
          <w:bCs/>
          <w:color w:val="AA0000"/>
          <w:sz w:val="30"/>
          <w:szCs w:val="30"/>
        </w:rPr>
        <w:t xml:space="preserve">2.  Information for Screening</w:t>
      </w:r>
    </w:p>
    <w:p>
      <w:pPr>
        <w:pStyle w:val="Heading2"/>
        <w:spacing w:after="100" w:before="280"/>
      </w:pPr>
      <w:r>
        <w:rPr>
          <w:rFonts w:ascii="Calibri" w:cs="Calibri" w:eastAsia="Calibri" w:hAnsi="Calibri"/>
          <w:b/>
          <w:bCs/>
          <w:color w:val="1A1A1A"/>
          <w:sz w:val="26"/>
          <w:szCs w:val="26"/>
        </w:rPr>
        <w:t xml:space="preserve">2-1  Outline of the Entry</w:t>
      </w:r>
    </w:p>
    <w:p>
      <w:pPr>
        <w:spacing w:after="40" w:before="120"/>
      </w:pPr>
      <w:r>
        <w:rPr>
          <w:rFonts w:ascii="Calibri" w:cs="Calibri" w:eastAsia="Calibri" w:hAnsi="Calibri"/>
          <w:b/>
          <w:bCs/>
          <w:color w:val="595959"/>
          <w:sz w:val="20"/>
          <w:szCs w:val="20"/>
        </w:rPr>
        <w:t xml:space="preserve">Explain the outline of the entry briefly  (370 / 400 characters)</w:t>
      </w:r>
    </w:p>
    <w:p>
      <w:pPr>
        <w:pBdr>
          <w:top w:val="single" w:color="AA0000" w:sz="6" w:space="4"/>
          <w:bottom w:val="single" w:color="AA0000" w:sz="6" w:space="4"/>
        </w:pBdr>
        <w:shd w:fill="FFF7F7" w:color="auto" w:val="clear"/>
        <w:spacing w:after="120" w:before="0" w:line="300"/>
      </w:pPr>
      <w:r>
        <w:rPr>
          <w:rFonts w:ascii="Calibri" w:cs="Calibri" w:eastAsia="Calibri" w:hAnsi="Calibri"/>
          <w:sz w:val="22"/>
          <w:szCs w:val="22"/>
        </w:rPr>
        <w:t xml:space="preserve">Predator Atlas 7 is a 7-inch Windows handheld gaming PC for players who want full PC continuity on the move. It rebuilds full-size desk-grade controls, the first metal cooling fan in a handheld, and a 120Hz FHD display inside a sub-750-gram envelope, treating the seven-inch class as a complete mechanical discipline rather than a scaled-down version of a larger device.</w:t>
      </w:r>
    </w:p>
    <w:p>
      <w:pPr>
        <w:spacing w:after="40" w:before="120"/>
      </w:pPr>
      <w:r>
        <w:rPr>
          <w:rFonts w:ascii="Calibri" w:cs="Calibri" w:eastAsia="Calibri" w:hAnsi="Calibri"/>
          <w:b/>
          <w:bCs/>
          <w:color w:val="595959"/>
          <w:sz w:val="20"/>
          <w:szCs w:val="20"/>
        </w:rPr>
        <w:t xml:space="preserve">The most remarkable points  (3 × ≤100 characters)</w:t>
      </w:r>
    </w:p>
    <w:p>
      <w:pPr>
        <w:spacing w:after="40" w:before="80"/>
      </w:pPr>
      <w:r>
        <w:rPr>
          <w:rFonts w:ascii="Calibri" w:cs="Calibri" w:eastAsia="Calibri" w:hAnsi="Calibri"/>
          <w:b/>
          <w:bCs/>
          <w:color w:val="595959"/>
          <w:sz w:val="20"/>
          <w:szCs w:val="20"/>
        </w:rPr>
        <w:t xml:space="preserve">1.  (96 / 100)</w:t>
      </w:r>
    </w:p>
    <w:p>
      <w:pPr>
        <w:pBdr>
          <w:top w:val="single" w:color="AA0000" w:sz="6" w:space="4"/>
          <w:bottom w:val="single" w:color="AA0000" w:sz="6" w:space="4"/>
        </w:pBdr>
        <w:shd w:fill="FFF7F7" w:color="auto" w:val="clear"/>
        <w:spacing w:after="120" w:before="0" w:line="300"/>
      </w:pPr>
      <w:r>
        <w:rPr>
          <w:rFonts w:ascii="Calibri" w:cs="Calibri" w:eastAsia="Calibri" w:hAnsi="Calibri"/>
          <w:sz w:val="22"/>
          <w:szCs w:val="22"/>
        </w:rPr>
        <w:t xml:space="preserve">First metal cooling fan in a handheld: 89 blades at 0.1mm, 10%+ more airflow than a plastic fan.</w:t>
      </w:r>
    </w:p>
    <w:p>
      <w:pPr>
        <w:spacing w:after="40" w:before="80"/>
      </w:pPr>
      <w:r>
        <w:rPr>
          <w:rFonts w:ascii="Calibri" w:cs="Calibri" w:eastAsia="Calibri" w:hAnsi="Calibri"/>
          <w:b/>
          <w:bCs/>
          <w:color w:val="595959"/>
          <w:sz w:val="20"/>
          <w:szCs w:val="20"/>
        </w:rPr>
        <w:t xml:space="preserve">2.  (98 / 100)</w:t>
      </w:r>
    </w:p>
    <w:p>
      <w:pPr>
        <w:pBdr>
          <w:top w:val="single" w:color="AA0000" w:sz="6" w:space="4"/>
          <w:bottom w:val="single" w:color="AA0000" w:sz="6" w:space="4"/>
        </w:pBdr>
        <w:shd w:fill="FFF7F7" w:color="auto" w:val="clear"/>
        <w:spacing w:after="120" w:before="0" w:line="300"/>
      </w:pPr>
      <w:r>
        <w:rPr>
          <w:rFonts w:ascii="Calibri" w:cs="Calibri" w:eastAsia="Calibri" w:hAnsi="Calibri"/>
          <w:sz w:val="22"/>
          <w:szCs w:val="22"/>
        </w:rPr>
        <w:t xml:space="preserve">Full-size desk-grade controls at 7-inch scale; Hall-effect triggers eliminate the drift wear path.</w:t>
      </w:r>
    </w:p>
    <w:p>
      <w:pPr>
        <w:spacing w:after="40" w:before="80"/>
      </w:pPr>
      <w:r>
        <w:rPr>
          <w:rFonts w:ascii="Calibri" w:cs="Calibri" w:eastAsia="Calibri" w:hAnsi="Calibri"/>
          <w:b/>
          <w:bCs/>
          <w:color w:val="595959"/>
          <w:sz w:val="20"/>
          <w:szCs w:val="20"/>
        </w:rPr>
        <w:t xml:space="preserve">3.  (89 / 100)</w:t>
      </w:r>
    </w:p>
    <w:p>
      <w:pPr>
        <w:pBdr>
          <w:top w:val="single" w:color="AA0000" w:sz="6" w:space="4"/>
          <w:bottom w:val="single" w:color="AA0000" w:sz="6" w:space="4"/>
        </w:pBdr>
        <w:shd w:fill="FFF7F7" w:color="auto" w:val="clear"/>
        <w:spacing w:after="120" w:before="0" w:line="300"/>
      </w:pPr>
      <w:r>
        <w:rPr>
          <w:rFonts w:ascii="Calibri" w:cs="Calibri" w:eastAsia="Calibri" w:hAnsi="Calibri"/>
          <w:sz w:val="22"/>
          <w:szCs w:val="22"/>
        </w:rPr>
        <w:t xml:space="preserve">Sub-750g chassis, up to 80 Whr battery — sustained PC gaming without laptop-scale growth.</w:t>
      </w:r>
    </w:p>
    <w:p>
      <w:pPr>
        <w:pBdr>
          <w:bottom w:val="single" w:color="BFBFBF" w:sz="6" w:space="1"/>
        </w:pBdr>
        <w:spacing w:after="200" w:before="0"/>
      </w:pPr>
      <w:r>
        <w:t xml:space="preserve"/>
      </w:r>
    </w:p>
    <w:p>
      <w:pPr>
        <w:pStyle w:val="Heading2"/>
        <w:spacing w:after="100" w:before="280"/>
      </w:pPr>
      <w:r>
        <w:rPr>
          <w:rFonts w:ascii="Calibri" w:cs="Calibri" w:eastAsia="Calibri" w:hAnsi="Calibri"/>
          <w:b/>
          <w:bCs/>
          <w:color w:val="1A1A1A"/>
          <w:sz w:val="26"/>
          <w:szCs w:val="26"/>
        </w:rPr>
        <w:t xml:space="preserve">2-2  Supplementary Information of the Entry</w:t>
      </w:r>
    </w:p>
    <w:p>
      <w:pPr>
        <w:spacing w:after="40" w:before="120"/>
      </w:pPr>
      <w:r>
        <w:rPr>
          <w:rFonts w:ascii="Calibri" w:cs="Calibri" w:eastAsia="Calibri" w:hAnsi="Calibri"/>
          <w:b/>
          <w:bCs/>
          <w:color w:val="595959"/>
          <w:sz w:val="20"/>
          <w:szCs w:val="20"/>
        </w:rPr>
        <w:t xml:space="preserve">Any improved features, difference between the competitors or similar products  (764 / 800 characters)</w:t>
      </w:r>
    </w:p>
    <w:p>
      <w:pPr>
        <w:pBdr>
          <w:top w:val="single" w:color="AA0000" w:sz="6" w:space="4"/>
          <w:bottom w:val="single" w:color="AA0000" w:sz="6" w:space="4"/>
        </w:pBdr>
        <w:shd w:fill="FFF7F7" w:color="auto" w:val="clear"/>
        <w:spacing w:after="120" w:before="0" w:line="300"/>
      </w:pPr>
      <w:r>
        <w:rPr>
          <w:rFonts w:ascii="Calibri" w:cs="Calibri" w:eastAsia="Calibri" w:hAnsi="Calibri"/>
          <w:sz w:val="22"/>
          <w:szCs w:val="22"/>
        </w:rPr>
        <w:t xml:space="preserve">The seven-inch Windows handheld category is dense with comparable form factors but thin on engineering depth. Against the Acer Nitro Blaze 7 — closest in-house peer at the same scale — Predator Atlas 7 adds full-size analog sticks, rear macros, a dedicated PredatorSense control, Predator AeroBlade dual-fan cooling (metal + plastic, Vortex Flow), Wi-Fi 7, dual Thunderbolt 4, and a 60–80 Whr battery versus the Blaze's 50 Whr. Against the wider market — Steam Deck OLED, ROG Ally X, MSI Claw 8 AI+ — Predator Atlas 7 introduces the first metal cooling fan in a handheld (89 blades, 0.1 mm, +10% airflow vs. plastic) and pairs it with Hall-effect triggers as standard, addressing the failure modes that retire handhelds earliest: thermal step-down and stick drift.</w:t>
      </w:r>
    </w:p>
    <w:p>
      <w:pPr>
        <w:spacing w:after="40" w:before="120"/>
      </w:pPr>
      <w:r>
        <w:rPr>
          <w:rFonts w:ascii="Calibri" w:cs="Calibri" w:eastAsia="Calibri" w:hAnsi="Calibri"/>
          <w:b/>
          <w:bCs/>
          <w:color w:val="595959"/>
          <w:sz w:val="20"/>
          <w:szCs w:val="20"/>
        </w:rPr>
        <w:t xml:space="preserve">Achievements to date  (784 / 800 characters)</w:t>
      </w:r>
    </w:p>
    <w:p>
      <w:pPr>
        <w:pBdr>
          <w:top w:val="single" w:color="AA0000" w:sz="6" w:space="4"/>
          <w:bottom w:val="single" w:color="AA0000" w:sz="6" w:space="4"/>
        </w:pBdr>
        <w:shd w:fill="FFF7F7" w:color="auto" w:val="clear"/>
        <w:spacing w:after="120" w:before="0" w:line="300"/>
      </w:pPr>
      <w:r>
        <w:rPr>
          <w:rFonts w:ascii="Calibri" w:cs="Calibri" w:eastAsia="Calibri" w:hAnsi="Calibri"/>
          <w:sz w:val="22"/>
          <w:szCs w:val="22"/>
        </w:rPr>
        <w:t xml:space="preserve">Predator Atlas 7 enters the market with first customer shipment in August 2026; consumer reception and sales record are not yet available. The product sits within Acer's Predator line, in continuous production for over a decade across desktops, laptops, monitors, and gaming peripherals. The Predator handheld programme is multi-generational: the eight-inch Predator Atlas 8 entered the prior award cycle; Predator Atlas 7 is its mechanically discrete seven-inch sibling, sharing visual language but engineered to a different envelope. Internal milestones include thermal-validation builds confirming the 10%+ airflow gain of the Predator AeroBlade metal fan over a plastic equivalent, and ergonomic prototyping that validated full-size sticks and rear macros at the seven-inch scale.</w:t>
      </w:r>
    </w:p>
    <w:p>
      <w:pPr>
        <w:pBdr>
          <w:bottom w:val="single" w:color="BFBFBF" w:sz="6" w:space="1"/>
        </w:pBdr>
        <w:spacing w:after="200" w:before="0"/>
      </w:pPr>
      <w:r>
        <w:t xml:space="preserve"/>
      </w:r>
    </w:p>
    <w:p>
      <w:r>
        <w:br w:type="page"/>
      </w:r>
    </w:p>
    <w:p>
      <w:pPr>
        <w:pStyle w:val="Heading1"/>
        <w:spacing w:after="100" w:before="360"/>
      </w:pPr>
      <w:r>
        <w:rPr>
          <w:rFonts w:ascii="Calibri" w:cs="Calibri" w:eastAsia="Calibri" w:hAnsi="Calibri"/>
          <w:b/>
          <w:bCs/>
          <w:color w:val="AA0000"/>
          <w:sz w:val="30"/>
          <w:szCs w:val="30"/>
        </w:rPr>
        <w:t xml:space="preserve">2-3  Submission Narrative — Four-Section Design Discipline</w:t>
      </w:r>
    </w:p>
    <w:p>
      <w:pPr>
        <w:spacing w:after="120" w:before="0" w:line="300"/>
        <w:jc w:val="left"/>
      </w:pPr>
      <w:r>
        <w:rPr>
          <w:rFonts w:ascii="Calibri" w:cs="Calibri" w:eastAsia="Calibri" w:hAnsi="Calibri"/>
          <w:sz w:val="22"/>
          <w:szCs w:val="22"/>
        </w:rPr>
        <w:t xml:space="preserve">Each section below is held to a strict 200-word limit, per the submission discipline established in the Predator Atlas 8 entry. Tone is observational and technically specific, devoid of marketing hype.</w:t>
      </w:r>
    </w:p>
    <w:p>
      <w:pPr>
        <w:pStyle w:val="Heading2"/>
        <w:spacing w:after="100" w:before="280"/>
      </w:pPr>
      <w:r>
        <w:rPr>
          <w:rFonts w:ascii="Calibri" w:cs="Calibri" w:eastAsia="Calibri" w:hAnsi="Calibri"/>
          <w:b/>
          <w:bCs/>
          <w:color w:val="1A1A1A"/>
          <w:sz w:val="26"/>
          <w:szCs w:val="26"/>
        </w:rPr>
        <w:t xml:space="preserve">Executive Summary</w:t>
      </w:r>
    </w:p>
    <w:p>
      <w:pPr>
        <w:pBdr>
          <w:top w:val="single" w:color="AA0000" w:sz="6" w:space="4"/>
          <w:bottom w:val="single" w:color="AA0000" w:sz="6" w:space="4"/>
        </w:pBdr>
        <w:shd w:fill="FFF7F7" w:color="auto" w:val="clear"/>
        <w:spacing w:after="120" w:before="0" w:line="300"/>
      </w:pPr>
      <w:r>
        <w:rPr>
          <w:rFonts w:ascii="Calibri" w:cs="Calibri" w:eastAsia="Calibri" w:hAnsi="Calibri"/>
          <w:sz w:val="22"/>
          <w:szCs w:val="22"/>
        </w:rPr>
        <w:t xml:space="preserve">Predator Atlas 7 is a seven-inch Windows handheld gaming PC that treats miniaturisation as a discipline rather than a compromise. It is built around the first metal cooling fan deployed in a handheld, full-size desk-grade controls, and a tuned 7-inch FHD 120Hz display, all within a sub-750-gram envelope.</w:t>
      </w:r>
    </w:p>
    <w:p>
      <w:pPr>
        <w:pStyle w:val="Heading2"/>
        <w:spacing w:after="100" w:before="280"/>
      </w:pPr>
      <w:r>
        <w:rPr>
          <w:rFonts w:ascii="Calibri" w:cs="Calibri" w:eastAsia="Calibri" w:hAnsi="Calibri"/>
          <w:b/>
          <w:bCs/>
          <w:color w:val="1A1A1A"/>
          <w:sz w:val="26"/>
          <w:szCs w:val="26"/>
        </w:rPr>
        <w:t xml:space="preserve">1. The Systemic Problem</w:t>
      </w:r>
    </w:p>
    <w:p>
      <w:pPr>
        <w:spacing w:after="120" w:before="0" w:line="300"/>
        <w:jc w:val="both"/>
      </w:pPr>
      <w:r>
        <w:rPr>
          <w:rFonts w:ascii="Calibri" w:cs="Calibri" w:eastAsia="Calibri" w:hAnsi="Calibri"/>
          <w:sz w:val="22"/>
          <w:szCs w:val="22"/>
        </w:rPr>
        <w:t xml:space="preserve">The handheld gaming PC category emerged from an unresolved tension. Players wanted the open library and software fluency of a Windows machine, but the form factors that made that possible inherited compromises from laptops: thick chassis, throttled silicon, abbreviated controls, panels chosen for cost rather than viewing distance. As manufacturers iterated, the prevailing response was to enlarge — bigger screens, bigger batteries, bigger thermal envelopes. The handheld grew until it stopped being handheld.</w:t>
      </w:r>
    </w:p>
    <w:p>
      <w:pPr>
        <w:spacing w:after="120" w:before="0" w:line="300"/>
        <w:jc w:val="both"/>
      </w:pPr>
      <w:r>
        <w:rPr>
          <w:rFonts w:ascii="Calibri" w:cs="Calibri" w:eastAsia="Calibri" w:hAnsi="Calibri"/>
          <w:sz w:val="22"/>
          <w:szCs w:val="22"/>
        </w:rPr>
        <w:t xml:space="preserve">For the player who travels, who plays standing on a train, in a kitchen, in a hospital waiting room, the device became another laptop with a controller bolted on. The deeper failure was ergonomic and cognitive. Full-size analog sticks were sacrificed for thinness. Triggers used potentiometer designs that drifted and degraded within months. Thermal performance dropped first when the room warmed. The system told the user, repeatedly and quietly, that handheld PC gaming was a compromise discipline — that to play seriously, one returned to the desk. The category needed a device that took the seven-inch envelope as a discipline rather than a limitation, and rebuilt the controls, cooling, display, and battery to that scale without halving their capability.</w:t>
      </w:r>
    </w:p>
    <w:p>
      <w:pPr>
        <w:pStyle w:val="Heading2"/>
        <w:spacing w:after="100" w:before="280"/>
      </w:pPr>
      <w:r>
        <w:rPr>
          <w:rFonts w:ascii="Calibri" w:cs="Calibri" w:eastAsia="Calibri" w:hAnsi="Calibri"/>
          <w:b/>
          <w:bCs/>
          <w:color w:val="1A1A1A"/>
          <w:sz w:val="26"/>
          <w:szCs w:val="26"/>
        </w:rPr>
        <w:t xml:space="preserve">2. The Unique Design Approach (Form / Function)</w:t>
      </w:r>
    </w:p>
    <w:p>
      <w:pPr>
        <w:spacing w:after="120" w:before="0" w:line="300"/>
        <w:jc w:val="both"/>
      </w:pPr>
      <w:r>
        <w:rPr>
          <w:rFonts w:ascii="Calibri" w:cs="Calibri" w:eastAsia="Calibri" w:hAnsi="Calibri"/>
          <w:sz w:val="22"/>
          <w:szCs w:val="22"/>
        </w:rPr>
        <w:t xml:space="preserve">Predator Atlas 7 treats the seven-inch class as a complete mechanical problem rather than a scaled-down version of a larger device. The chassis houses an Intel® Arc™ G3 Extreme processor with Xe3 graphics, paired with a dual-fan cooling stack centred on the Predator AeroBlade — the first metal fan deployed in a handheld, machined to 0.1 mm blade thickness across 89 blades and tuned through Vortex Flow channels that route heat along angled internal paths rather than across user-contact surfaces.</w:t>
      </w:r>
    </w:p>
    <w:p>
      <w:pPr>
        <w:spacing w:after="120" w:before="0" w:line="300"/>
        <w:jc w:val="both"/>
      </w:pPr>
      <w:r>
        <w:rPr>
          <w:rFonts w:ascii="Calibri" w:cs="Calibri" w:eastAsia="Calibri" w:hAnsi="Calibri"/>
          <w:sz w:val="22"/>
          <w:szCs w:val="22"/>
        </w:rPr>
        <w:t xml:space="preserve">The controls were rebuilt to full size. Analog sticks at desk-controller dimensions, Hall-effect triggers that resist drift across years of pressure cycling, rear macro buttons placed under the index fingers, and a dedicated PredatorSense key that surfaces live system state without leaving the game. The 7-inch 16:9 FHD panel runs at 120 Hz with variable refresh and 500 nits, covered in Corning® Gorilla® Glass with DXC to suppress reflection in sunlight.</w:t>
      </w:r>
    </w:p>
    <w:p>
      <w:pPr>
        <w:spacing w:after="120" w:before="0" w:line="300"/>
        <w:jc w:val="both"/>
      </w:pPr>
      <w:r>
        <w:rPr>
          <w:rFonts w:ascii="Calibri" w:cs="Calibri" w:eastAsia="Calibri" w:hAnsi="Calibri"/>
          <w:sz w:val="22"/>
          <w:szCs w:val="22"/>
        </w:rPr>
        <w:t xml:space="preserve">Sculpted contour, recessed keys, and an enlarged palm rest hold the hand in a position closer to a wired controller than a tablet. Up to 80 Whr of battery sits inside a sub-750-gram envelope. Nothing was thinned to disappear.</w:t>
      </w:r>
    </w:p>
    <w:p>
      <w:pPr>
        <w:pStyle w:val="Heading2"/>
        <w:spacing w:after="100" w:before="280"/>
      </w:pPr>
      <w:r>
        <w:rPr>
          <w:rFonts w:ascii="Calibri" w:cs="Calibri" w:eastAsia="Calibri" w:hAnsi="Calibri"/>
          <w:b/>
          <w:bCs/>
          <w:color w:val="1A1A1A"/>
          <w:sz w:val="26"/>
          <w:szCs w:val="26"/>
        </w:rPr>
        <w:t xml:space="preserve">3. The Validated User and Environmental Outcome</w:t>
      </w:r>
    </w:p>
    <w:p>
      <w:pPr>
        <w:spacing w:after="120" w:before="0" w:line="300"/>
        <w:jc w:val="both"/>
      </w:pPr>
      <w:r>
        <w:rPr>
          <w:rFonts w:ascii="Calibri" w:cs="Calibri" w:eastAsia="Calibri" w:hAnsi="Calibri"/>
          <w:sz w:val="22"/>
          <w:szCs w:val="22"/>
        </w:rPr>
        <w:t xml:space="preserve">Internal thermal validation measured a 10%+ increase in airflow against the same chassis fitted with a plastic fan, producing more sustained framerates under heavier titles where prior handhelds would step down within minutes. The Hall-effect trigger architecture eliminates the wear path that produces stick drift and analog deadzone expansion — the failure mode that quietly retires handhelds well before their silicon ages. Variable refresh and the DXC anti-reflective coating extend the conditions under which the display remains legible, particularly outdoors and in mixed lighting where conventional handheld panels wash out.</w:t>
      </w:r>
    </w:p>
    <w:p>
      <w:pPr>
        <w:spacing w:after="120" w:before="0" w:line="300"/>
        <w:jc w:val="both"/>
      </w:pPr>
      <w:r>
        <w:rPr>
          <w:rFonts w:ascii="Calibri" w:cs="Calibri" w:eastAsia="Calibri" w:hAnsi="Calibri"/>
          <w:sz w:val="22"/>
          <w:szCs w:val="22"/>
        </w:rPr>
        <w:t xml:space="preserve">For the player, the validated outcome is continuity. The library does not change between desk and travel. The control feel does not change between desktop controller and handheld. Session length, governed by the 80 Whr battery and stable thermal behaviour, is no longer limited by the device first. PredatorSense places power profiles, fan curves, and frame-pacing inside the player's grip, removing the discontinuity of leaving a session to manage system state.</w:t>
      </w:r>
    </w:p>
    <w:p>
      <w:pPr>
        <w:spacing w:after="120" w:before="0" w:line="300"/>
        <w:jc w:val="both"/>
      </w:pPr>
      <w:r>
        <w:rPr>
          <w:rFonts w:ascii="Calibri" w:cs="Calibri" w:eastAsia="Calibri" w:hAnsi="Calibri"/>
          <w:sz w:val="22"/>
          <w:szCs w:val="22"/>
        </w:rPr>
        <w:t xml:space="preserve">The environmental dimension is a longer service life: components chosen for cycle endurance over peak benchmark, and a chassis architecture that resists the early-disposal pattern characteristic of sealed handheld designs.</w:t>
      </w:r>
    </w:p>
    <w:p>
      <w:pPr>
        <w:pStyle w:val="Heading2"/>
        <w:spacing w:after="100" w:before="280"/>
      </w:pPr>
      <w:r>
        <w:rPr>
          <w:rFonts w:ascii="Calibri" w:cs="Calibri" w:eastAsia="Calibri" w:hAnsi="Calibri"/>
          <w:b/>
          <w:bCs/>
          <w:color w:val="1A1A1A"/>
          <w:sz w:val="26"/>
          <w:szCs w:val="26"/>
        </w:rPr>
        <w:t xml:space="preserve">4. How It Pushes Industry Boundaries</w:t>
      </w:r>
    </w:p>
    <w:p>
      <w:pPr>
        <w:spacing w:after="120" w:before="0" w:line="300"/>
        <w:jc w:val="both"/>
      </w:pPr>
      <w:r>
        <w:rPr>
          <w:rFonts w:ascii="Calibri" w:cs="Calibri" w:eastAsia="Calibri" w:hAnsi="Calibri"/>
          <w:sz w:val="22"/>
          <w:szCs w:val="22"/>
        </w:rPr>
        <w:t xml:space="preserve">Predator Atlas 7 advances the handheld PC category along three axes the industry has previously treated as fixed. First, materials: the introduction of a metal fan into a handheld retires the assumption that consumer-class portable thermal solutions must use injection-moulded plastic impellers, and demonstrates that fan acoustics and longevity can move closer to desktop-class behaviour at sub-watt power draws. Second, control parity: full-size analog sticks and rear macros at the seven-inch scale challenge the prevailing trade-off in which smaller devices forfeit input precision, and Hall-effect triggers as standard equipment shift the category's reliability baseline.</w:t>
      </w:r>
    </w:p>
    <w:p>
      <w:pPr>
        <w:spacing w:after="120" w:before="0" w:line="300"/>
        <w:jc w:val="both"/>
      </w:pPr>
      <w:r>
        <w:rPr>
          <w:rFonts w:ascii="Calibri" w:cs="Calibri" w:eastAsia="Calibri" w:hAnsi="Calibri"/>
          <w:sz w:val="22"/>
          <w:szCs w:val="22"/>
        </w:rPr>
        <w:t xml:space="preserve">Third, the device argues against the prevailing direction of growth. Recent handhelds have approached the dimensions of compact laptops in pursuit of thermal headroom; Predator Atlas 7 holds the form factor disciplined and asks the engineering to meet it. The result is a reference for what a serious seven-inch Windows handheld can contain — not a feature list, but a coherent system in which display, cooling, controls, battery, and software-side monitoring were designed against one another rather than aggregated.</w:t>
      </w:r>
    </w:p>
    <w:p>
      <w:pPr>
        <w:spacing w:after="120" w:before="0" w:line="300"/>
        <w:jc w:val="both"/>
      </w:pPr>
      <w:r>
        <w:rPr>
          <w:rFonts w:ascii="Calibri" w:cs="Calibri" w:eastAsia="Calibri" w:hAnsi="Calibri"/>
          <w:sz w:val="22"/>
          <w:szCs w:val="22"/>
        </w:rPr>
        <w:t xml:space="preserve">The contribution is methodological: a demonstration that miniaturisation, treated as a constraint rather than a marketing position, still produces consequential design.</w:t>
      </w:r>
    </w:p>
    <w:p>
      <w:r>
        <w:br w:type="page"/>
      </w:r>
    </w:p>
    <w:p>
      <w:pPr>
        <w:pStyle w:val="Heading1"/>
        <w:spacing w:after="100" w:before="360"/>
      </w:pPr>
      <w:r>
        <w:rPr>
          <w:rFonts w:ascii="Calibri" w:cs="Calibri" w:eastAsia="Calibri" w:hAnsi="Calibri"/>
          <w:b/>
          <w:bCs/>
          <w:color w:val="AA0000"/>
          <w:sz w:val="30"/>
          <w:szCs w:val="30"/>
        </w:rPr>
        <w:t xml:space="preserve">Exhibition Info — Technical Specifications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BFBFBF" w:sz="4"/>
              <w:left w:val="single" w:color="BFBFBF" w:sz="4"/>
              <w:bottom w:val="single" w:color="BFBFBF" w:sz="4"/>
              <w:right w:val="single" w:color="BFBFBF" w:sz="4"/>
            </w:tcBorders>
            <w:shd w:fill="F2F2F2" w:color="auto" w:val="clear"/>
            <w:tcMar>
              <w:top w:type="dxa" w:w="90"/>
              <w:left w:type="dxa" w:w="140"/>
              <w:bottom w:type="dxa" w:w="90"/>
              <w:right w:type="dxa" w:w="140"/>
            </w:tcMar>
          </w:tcPr>
          <w:p>
            <w:pPr>
              <w:spacing w:after="0" w:before="0"/>
            </w:pPr>
            <w:r>
              <w:rPr>
                <w:rFonts w:ascii="Calibri" w:cs="Calibri" w:eastAsia="Calibri" w:hAnsi="Calibri"/>
                <w:b/>
                <w:bCs/>
                <w:sz w:val="20"/>
                <w:szCs w:val="20"/>
              </w:rPr>
              <w:t xml:space="preserve">Processor</w:t>
            </w:r>
          </w:p>
        </w:tc>
        <w:tc>
          <w:tcPr>
            <w:tcW w:type="dxa" w:w="6360"/>
            <w:tcBorders>
              <w:top w:val="single" w:color="BFBFBF" w:sz="4"/>
              <w:left w:val="single" w:color="BFBFBF" w:sz="4"/>
              <w:bottom w:val="single" w:color="BFBFBF" w:sz="4"/>
              <w:right w:val="single" w:color="BFBFBF" w:sz="4"/>
            </w:tcBorders>
            <w:tcMar>
              <w:top w:type="dxa" w:w="90"/>
              <w:left w:type="dxa" w:w="140"/>
              <w:bottom w:type="dxa" w:w="90"/>
              <w:right w:type="dxa" w:w="140"/>
            </w:tcMar>
          </w:tcPr>
          <w:p>
            <w:pPr>
              <w:spacing w:after="0" w:before="0"/>
            </w:pPr>
            <w:r>
              <w:rPr>
                <w:rFonts w:ascii="Calibri" w:cs="Calibri" w:eastAsia="Calibri" w:hAnsi="Calibri"/>
                <w:b w:val="false"/>
                <w:bCs w:val="false"/>
                <w:sz w:val="20"/>
                <w:szCs w:val="20"/>
              </w:rPr>
              <w:t xml:space="preserve">Up to Intel® Arc™ G3 Extreme Processor (&gt;40 TOPS INT8)</w:t>
            </w:r>
          </w:p>
        </w:tc>
      </w:tr>
      <w:tr>
        <w:tc>
          <w:tcPr>
            <w:tcW w:type="dxa" w:w="3000"/>
            <w:tcBorders>
              <w:top w:val="single" w:color="BFBFBF" w:sz="4"/>
              <w:left w:val="single" w:color="BFBFBF" w:sz="4"/>
              <w:bottom w:val="single" w:color="BFBFBF" w:sz="4"/>
              <w:right w:val="single" w:color="BFBFBF" w:sz="4"/>
            </w:tcBorders>
            <w:shd w:fill="F2F2F2" w:color="auto" w:val="clear"/>
            <w:tcMar>
              <w:top w:type="dxa" w:w="90"/>
              <w:left w:type="dxa" w:w="140"/>
              <w:bottom w:type="dxa" w:w="90"/>
              <w:right w:type="dxa" w:w="140"/>
            </w:tcMar>
          </w:tcPr>
          <w:p>
            <w:pPr>
              <w:spacing w:after="0" w:before="0"/>
            </w:pPr>
            <w:r>
              <w:rPr>
                <w:rFonts w:ascii="Calibri" w:cs="Calibri" w:eastAsia="Calibri" w:hAnsi="Calibri"/>
                <w:b/>
                <w:bCs/>
                <w:sz w:val="20"/>
                <w:szCs w:val="20"/>
              </w:rPr>
              <w:t xml:space="preserve">Graphics</w:t>
            </w:r>
          </w:p>
        </w:tc>
        <w:tc>
          <w:tcPr>
            <w:tcW w:type="dxa" w:w="6360"/>
            <w:tcBorders>
              <w:top w:val="single" w:color="BFBFBF" w:sz="4"/>
              <w:left w:val="single" w:color="BFBFBF" w:sz="4"/>
              <w:bottom w:val="single" w:color="BFBFBF" w:sz="4"/>
              <w:right w:val="single" w:color="BFBFBF" w:sz="4"/>
            </w:tcBorders>
            <w:tcMar>
              <w:top w:type="dxa" w:w="90"/>
              <w:left w:type="dxa" w:w="140"/>
              <w:bottom w:type="dxa" w:w="90"/>
              <w:right w:type="dxa" w:w="140"/>
            </w:tcMar>
          </w:tcPr>
          <w:p>
            <w:pPr>
              <w:spacing w:after="0" w:before="0"/>
            </w:pPr>
            <w:r>
              <w:rPr>
                <w:rFonts w:ascii="Calibri" w:cs="Calibri" w:eastAsia="Calibri" w:hAnsi="Calibri"/>
                <w:b w:val="false"/>
                <w:bCs w:val="false"/>
                <w:sz w:val="20"/>
                <w:szCs w:val="20"/>
              </w:rPr>
              <w:t xml:space="preserve">Intel® Xe3 graphics; XeSS 3 AI upscaling and multi-frame generation</w:t>
            </w:r>
          </w:p>
        </w:tc>
      </w:tr>
      <w:tr>
        <w:tc>
          <w:tcPr>
            <w:tcW w:type="dxa" w:w="3000"/>
            <w:tcBorders>
              <w:top w:val="single" w:color="BFBFBF" w:sz="4"/>
              <w:left w:val="single" w:color="BFBFBF" w:sz="4"/>
              <w:bottom w:val="single" w:color="BFBFBF" w:sz="4"/>
              <w:right w:val="single" w:color="BFBFBF" w:sz="4"/>
            </w:tcBorders>
            <w:shd w:fill="F2F2F2" w:color="auto" w:val="clear"/>
            <w:tcMar>
              <w:top w:type="dxa" w:w="90"/>
              <w:left w:type="dxa" w:w="140"/>
              <w:bottom w:type="dxa" w:w="90"/>
              <w:right w:type="dxa" w:w="140"/>
            </w:tcMar>
          </w:tcPr>
          <w:p>
            <w:pPr>
              <w:spacing w:after="0" w:before="0"/>
            </w:pPr>
            <w:r>
              <w:rPr>
                <w:rFonts w:ascii="Calibri" w:cs="Calibri" w:eastAsia="Calibri" w:hAnsi="Calibri"/>
                <w:b/>
                <w:bCs/>
                <w:sz w:val="20"/>
                <w:szCs w:val="20"/>
              </w:rPr>
              <w:t xml:space="preserve">Operating System</w:t>
            </w:r>
          </w:p>
        </w:tc>
        <w:tc>
          <w:tcPr>
            <w:tcW w:type="dxa" w:w="6360"/>
            <w:tcBorders>
              <w:top w:val="single" w:color="BFBFBF" w:sz="4"/>
              <w:left w:val="single" w:color="BFBFBF" w:sz="4"/>
              <w:bottom w:val="single" w:color="BFBFBF" w:sz="4"/>
              <w:right w:val="single" w:color="BFBFBF" w:sz="4"/>
            </w:tcBorders>
            <w:tcMar>
              <w:top w:type="dxa" w:w="90"/>
              <w:left w:type="dxa" w:w="140"/>
              <w:bottom w:type="dxa" w:w="90"/>
              <w:right w:type="dxa" w:w="140"/>
            </w:tcMar>
          </w:tcPr>
          <w:p>
            <w:pPr>
              <w:spacing w:after="0" w:before="0"/>
            </w:pPr>
            <w:r>
              <w:rPr>
                <w:rFonts w:ascii="Calibri" w:cs="Calibri" w:eastAsia="Calibri" w:hAnsi="Calibri"/>
                <w:b w:val="false"/>
                <w:bCs w:val="false"/>
                <w:sz w:val="20"/>
                <w:szCs w:val="20"/>
              </w:rPr>
              <w:t xml:space="preserve">Windows 11 Home (Copilot+ PC class)</w:t>
            </w:r>
          </w:p>
        </w:tc>
      </w:tr>
      <w:tr>
        <w:tc>
          <w:tcPr>
            <w:tcW w:type="dxa" w:w="3000"/>
            <w:tcBorders>
              <w:top w:val="single" w:color="BFBFBF" w:sz="4"/>
              <w:left w:val="single" w:color="BFBFBF" w:sz="4"/>
              <w:bottom w:val="single" w:color="BFBFBF" w:sz="4"/>
              <w:right w:val="single" w:color="BFBFBF" w:sz="4"/>
            </w:tcBorders>
            <w:shd w:fill="F2F2F2" w:color="auto" w:val="clear"/>
            <w:tcMar>
              <w:top w:type="dxa" w:w="90"/>
              <w:left w:type="dxa" w:w="140"/>
              <w:bottom w:type="dxa" w:w="90"/>
              <w:right w:type="dxa" w:w="140"/>
            </w:tcMar>
          </w:tcPr>
          <w:p>
            <w:pPr>
              <w:spacing w:after="0" w:before="0"/>
            </w:pPr>
            <w:r>
              <w:rPr>
                <w:rFonts w:ascii="Calibri" w:cs="Calibri" w:eastAsia="Calibri" w:hAnsi="Calibri"/>
                <w:b/>
                <w:bCs/>
                <w:sz w:val="20"/>
                <w:szCs w:val="20"/>
              </w:rPr>
              <w:t xml:space="preserve">Memory</w:t>
            </w:r>
          </w:p>
        </w:tc>
        <w:tc>
          <w:tcPr>
            <w:tcW w:type="dxa" w:w="6360"/>
            <w:tcBorders>
              <w:top w:val="single" w:color="BFBFBF" w:sz="4"/>
              <w:left w:val="single" w:color="BFBFBF" w:sz="4"/>
              <w:bottom w:val="single" w:color="BFBFBF" w:sz="4"/>
              <w:right w:val="single" w:color="BFBFBF" w:sz="4"/>
            </w:tcBorders>
            <w:tcMar>
              <w:top w:type="dxa" w:w="90"/>
              <w:left w:type="dxa" w:w="140"/>
              <w:bottom w:type="dxa" w:w="90"/>
              <w:right w:type="dxa" w:w="140"/>
            </w:tcMar>
          </w:tcPr>
          <w:p>
            <w:pPr>
              <w:spacing w:after="0" w:before="0"/>
            </w:pPr>
            <w:r>
              <w:rPr>
                <w:rFonts w:ascii="Calibri" w:cs="Calibri" w:eastAsia="Calibri" w:hAnsi="Calibri"/>
                <w:b w:val="false"/>
                <w:bCs w:val="false"/>
                <w:sz w:val="20"/>
                <w:szCs w:val="20"/>
              </w:rPr>
              <w:t xml:space="preserve">Up to 24GB LPDDR5x at 7,467 MT/s</w:t>
            </w:r>
          </w:p>
        </w:tc>
      </w:tr>
      <w:tr>
        <w:tc>
          <w:tcPr>
            <w:tcW w:type="dxa" w:w="3000"/>
            <w:tcBorders>
              <w:top w:val="single" w:color="BFBFBF" w:sz="4"/>
              <w:left w:val="single" w:color="BFBFBF" w:sz="4"/>
              <w:bottom w:val="single" w:color="BFBFBF" w:sz="4"/>
              <w:right w:val="single" w:color="BFBFBF" w:sz="4"/>
            </w:tcBorders>
            <w:shd w:fill="F2F2F2" w:color="auto" w:val="clear"/>
            <w:tcMar>
              <w:top w:type="dxa" w:w="90"/>
              <w:left w:type="dxa" w:w="140"/>
              <w:bottom w:type="dxa" w:w="90"/>
              <w:right w:type="dxa" w:w="140"/>
            </w:tcMar>
          </w:tcPr>
          <w:p>
            <w:pPr>
              <w:spacing w:after="0" w:before="0"/>
            </w:pPr>
            <w:r>
              <w:rPr>
                <w:rFonts w:ascii="Calibri" w:cs="Calibri" w:eastAsia="Calibri" w:hAnsi="Calibri"/>
                <w:b/>
                <w:bCs/>
                <w:sz w:val="20"/>
                <w:szCs w:val="20"/>
              </w:rPr>
              <w:t xml:space="preserve">Storage</w:t>
            </w:r>
          </w:p>
        </w:tc>
        <w:tc>
          <w:tcPr>
            <w:tcW w:type="dxa" w:w="6360"/>
            <w:tcBorders>
              <w:top w:val="single" w:color="BFBFBF" w:sz="4"/>
              <w:left w:val="single" w:color="BFBFBF" w:sz="4"/>
              <w:bottom w:val="single" w:color="BFBFBF" w:sz="4"/>
              <w:right w:val="single" w:color="BFBFBF" w:sz="4"/>
            </w:tcBorders>
            <w:tcMar>
              <w:top w:type="dxa" w:w="90"/>
              <w:left w:type="dxa" w:w="140"/>
              <w:bottom w:type="dxa" w:w="90"/>
              <w:right w:type="dxa" w:w="140"/>
            </w:tcMar>
          </w:tcPr>
          <w:p>
            <w:pPr>
              <w:spacing w:after="0" w:before="0"/>
            </w:pPr>
            <w:r>
              <w:rPr>
                <w:rFonts w:ascii="Calibri" w:cs="Calibri" w:eastAsia="Calibri" w:hAnsi="Calibri"/>
                <w:b w:val="false"/>
                <w:bCs w:val="false"/>
                <w:sz w:val="20"/>
                <w:szCs w:val="20"/>
              </w:rPr>
              <w:t xml:space="preserve">Up to 1TB PCIe Gen 4 NVMe M.2 SSD</w:t>
            </w:r>
          </w:p>
        </w:tc>
      </w:tr>
      <w:tr>
        <w:tc>
          <w:tcPr>
            <w:tcW w:type="dxa" w:w="3000"/>
            <w:tcBorders>
              <w:top w:val="single" w:color="BFBFBF" w:sz="4"/>
              <w:left w:val="single" w:color="BFBFBF" w:sz="4"/>
              <w:bottom w:val="single" w:color="BFBFBF" w:sz="4"/>
              <w:right w:val="single" w:color="BFBFBF" w:sz="4"/>
            </w:tcBorders>
            <w:shd w:fill="F2F2F2" w:color="auto" w:val="clear"/>
            <w:tcMar>
              <w:top w:type="dxa" w:w="90"/>
              <w:left w:type="dxa" w:w="140"/>
              <w:bottom w:type="dxa" w:w="90"/>
              <w:right w:type="dxa" w:w="140"/>
            </w:tcMar>
          </w:tcPr>
          <w:p>
            <w:pPr>
              <w:spacing w:after="0" w:before="0"/>
            </w:pPr>
            <w:r>
              <w:rPr>
                <w:rFonts w:ascii="Calibri" w:cs="Calibri" w:eastAsia="Calibri" w:hAnsi="Calibri"/>
                <w:b/>
                <w:bCs/>
                <w:sz w:val="20"/>
                <w:szCs w:val="20"/>
              </w:rPr>
              <w:t xml:space="preserve">Display</w:t>
            </w:r>
          </w:p>
        </w:tc>
        <w:tc>
          <w:tcPr>
            <w:tcW w:type="dxa" w:w="6360"/>
            <w:tcBorders>
              <w:top w:val="single" w:color="BFBFBF" w:sz="4"/>
              <w:left w:val="single" w:color="BFBFBF" w:sz="4"/>
              <w:bottom w:val="single" w:color="BFBFBF" w:sz="4"/>
              <w:right w:val="single" w:color="BFBFBF" w:sz="4"/>
            </w:tcBorders>
            <w:tcMar>
              <w:top w:type="dxa" w:w="90"/>
              <w:left w:type="dxa" w:w="140"/>
              <w:bottom w:type="dxa" w:w="90"/>
              <w:right w:type="dxa" w:w="140"/>
            </w:tcMar>
          </w:tcPr>
          <w:p>
            <w:pPr>
              <w:spacing w:after="0" w:before="0"/>
            </w:pPr>
            <w:r>
              <w:rPr>
                <w:rFonts w:ascii="Calibri" w:cs="Calibri" w:eastAsia="Calibri" w:hAnsi="Calibri"/>
                <w:b w:val="false"/>
                <w:bCs w:val="false"/>
                <w:sz w:val="20"/>
                <w:szCs w:val="20"/>
              </w:rPr>
              <w:t xml:space="preserve">7" FHD 1920×1080, 16:9, 120Hz with VRR, 10ms response, 500 nits peak, sRGB 100% / Adobe 75%, 10-point multi-touch</w:t>
            </w:r>
          </w:p>
        </w:tc>
      </w:tr>
      <w:tr>
        <w:tc>
          <w:tcPr>
            <w:tcW w:type="dxa" w:w="3000"/>
            <w:tcBorders>
              <w:top w:val="single" w:color="BFBFBF" w:sz="4"/>
              <w:left w:val="single" w:color="BFBFBF" w:sz="4"/>
              <w:bottom w:val="single" w:color="BFBFBF" w:sz="4"/>
              <w:right w:val="single" w:color="BFBFBF" w:sz="4"/>
            </w:tcBorders>
            <w:shd w:fill="F2F2F2" w:color="auto" w:val="clear"/>
            <w:tcMar>
              <w:top w:type="dxa" w:w="90"/>
              <w:left w:type="dxa" w:w="140"/>
              <w:bottom w:type="dxa" w:w="90"/>
              <w:right w:type="dxa" w:w="140"/>
            </w:tcMar>
          </w:tcPr>
          <w:p>
            <w:pPr>
              <w:spacing w:after="0" w:before="0"/>
            </w:pPr>
            <w:r>
              <w:rPr>
                <w:rFonts w:ascii="Calibri" w:cs="Calibri" w:eastAsia="Calibri" w:hAnsi="Calibri"/>
                <w:b/>
                <w:bCs/>
                <w:sz w:val="20"/>
                <w:szCs w:val="20"/>
              </w:rPr>
              <w:t xml:space="preserve">Display Cover</w:t>
            </w:r>
          </w:p>
        </w:tc>
        <w:tc>
          <w:tcPr>
            <w:tcW w:type="dxa" w:w="6360"/>
            <w:tcBorders>
              <w:top w:val="single" w:color="BFBFBF" w:sz="4"/>
              <w:left w:val="single" w:color="BFBFBF" w:sz="4"/>
              <w:bottom w:val="single" w:color="BFBFBF" w:sz="4"/>
              <w:right w:val="single" w:color="BFBFBF" w:sz="4"/>
            </w:tcBorders>
            <w:tcMar>
              <w:top w:type="dxa" w:w="90"/>
              <w:left w:type="dxa" w:w="140"/>
              <w:bottom w:type="dxa" w:w="90"/>
              <w:right w:type="dxa" w:w="140"/>
            </w:tcMar>
          </w:tcPr>
          <w:p>
            <w:pPr>
              <w:spacing w:after="0" w:before="0"/>
            </w:pPr>
            <w:r>
              <w:rPr>
                <w:rFonts w:ascii="Calibri" w:cs="Calibri" w:eastAsia="Calibri" w:hAnsi="Calibri"/>
                <w:b w:val="false"/>
                <w:bCs w:val="false"/>
                <w:sz w:val="20"/>
                <w:szCs w:val="20"/>
              </w:rPr>
              <w:t xml:space="preserve">Corning® Gorilla® Glass Victus® with DXC anti-reflective treatment</w:t>
            </w:r>
          </w:p>
        </w:tc>
      </w:tr>
      <w:tr>
        <w:tc>
          <w:tcPr>
            <w:tcW w:type="dxa" w:w="3000"/>
            <w:tcBorders>
              <w:top w:val="single" w:color="BFBFBF" w:sz="4"/>
              <w:left w:val="single" w:color="BFBFBF" w:sz="4"/>
              <w:bottom w:val="single" w:color="BFBFBF" w:sz="4"/>
              <w:right w:val="single" w:color="BFBFBF" w:sz="4"/>
            </w:tcBorders>
            <w:shd w:fill="F2F2F2" w:color="auto" w:val="clear"/>
            <w:tcMar>
              <w:top w:type="dxa" w:w="90"/>
              <w:left w:type="dxa" w:w="140"/>
              <w:bottom w:type="dxa" w:w="90"/>
              <w:right w:type="dxa" w:w="140"/>
            </w:tcMar>
          </w:tcPr>
          <w:p>
            <w:pPr>
              <w:spacing w:after="0" w:before="0"/>
            </w:pPr>
            <w:r>
              <w:rPr>
                <w:rFonts w:ascii="Calibri" w:cs="Calibri" w:eastAsia="Calibri" w:hAnsi="Calibri"/>
                <w:b/>
                <w:bCs/>
                <w:sz w:val="20"/>
                <w:szCs w:val="20"/>
              </w:rPr>
              <w:t xml:space="preserve">Cooling</w:t>
            </w:r>
          </w:p>
        </w:tc>
        <w:tc>
          <w:tcPr>
            <w:tcW w:type="dxa" w:w="6360"/>
            <w:tcBorders>
              <w:top w:val="single" w:color="BFBFBF" w:sz="4"/>
              <w:left w:val="single" w:color="BFBFBF" w:sz="4"/>
              <w:bottom w:val="single" w:color="BFBFBF" w:sz="4"/>
              <w:right w:val="single" w:color="BFBFBF" w:sz="4"/>
            </w:tcBorders>
            <w:tcMar>
              <w:top w:type="dxa" w:w="90"/>
              <w:left w:type="dxa" w:w="140"/>
              <w:bottom w:type="dxa" w:w="90"/>
              <w:right w:type="dxa" w:w="140"/>
            </w:tcMar>
          </w:tcPr>
          <w:p>
            <w:pPr>
              <w:spacing w:after="0" w:before="0"/>
            </w:pPr>
            <w:r>
              <w:rPr>
                <w:rFonts w:ascii="Calibri" w:cs="Calibri" w:eastAsia="Calibri" w:hAnsi="Calibri"/>
                <w:b w:val="false"/>
                <w:bCs w:val="false"/>
                <w:sz w:val="20"/>
                <w:szCs w:val="20"/>
              </w:rPr>
              <w:t xml:space="preserve">Predator AeroBlade — dual-fan: metal fan (89 blades, 0.1mm thickness) + plastic fan; Vortex Flow tuning; +10% airflow vs plastic-only reference</w:t>
            </w:r>
          </w:p>
        </w:tc>
      </w:tr>
      <w:tr>
        <w:tc>
          <w:tcPr>
            <w:tcW w:type="dxa" w:w="3000"/>
            <w:tcBorders>
              <w:top w:val="single" w:color="BFBFBF" w:sz="4"/>
              <w:left w:val="single" w:color="BFBFBF" w:sz="4"/>
              <w:bottom w:val="single" w:color="BFBFBF" w:sz="4"/>
              <w:right w:val="single" w:color="BFBFBF" w:sz="4"/>
            </w:tcBorders>
            <w:shd w:fill="F2F2F2" w:color="auto" w:val="clear"/>
            <w:tcMar>
              <w:top w:type="dxa" w:w="90"/>
              <w:left w:type="dxa" w:w="140"/>
              <w:bottom w:type="dxa" w:w="90"/>
              <w:right w:type="dxa" w:w="140"/>
            </w:tcMar>
          </w:tcPr>
          <w:p>
            <w:pPr>
              <w:spacing w:after="0" w:before="0"/>
            </w:pPr>
            <w:r>
              <w:rPr>
                <w:rFonts w:ascii="Calibri" w:cs="Calibri" w:eastAsia="Calibri" w:hAnsi="Calibri"/>
                <w:b/>
                <w:bCs/>
                <w:sz w:val="20"/>
                <w:szCs w:val="20"/>
              </w:rPr>
              <w:t xml:space="preserve">Controls</w:t>
            </w:r>
          </w:p>
        </w:tc>
        <w:tc>
          <w:tcPr>
            <w:tcW w:type="dxa" w:w="6360"/>
            <w:tcBorders>
              <w:top w:val="single" w:color="BFBFBF" w:sz="4"/>
              <w:left w:val="single" w:color="BFBFBF" w:sz="4"/>
              <w:bottom w:val="single" w:color="BFBFBF" w:sz="4"/>
              <w:right w:val="single" w:color="BFBFBF" w:sz="4"/>
            </w:tcBorders>
            <w:tcMar>
              <w:top w:type="dxa" w:w="90"/>
              <w:left w:type="dxa" w:w="140"/>
              <w:bottom w:type="dxa" w:w="90"/>
              <w:right w:type="dxa" w:w="140"/>
            </w:tcMar>
          </w:tcPr>
          <w:p>
            <w:pPr>
              <w:spacing w:after="0" w:before="0"/>
            </w:pPr>
            <w:r>
              <w:rPr>
                <w:rFonts w:ascii="Calibri" w:cs="Calibri" w:eastAsia="Calibri" w:hAnsi="Calibri"/>
                <w:b w:val="false"/>
                <w:bCs w:val="false"/>
                <w:sz w:val="20"/>
                <w:szCs w:val="20"/>
              </w:rPr>
              <w:t xml:space="preserve">Full-size analog sticks ×2; Hall-effect analog triggers; left / right rear macro buttons; D-pad; ABXY; view, menu, Game Bar, PredatorSense buttons; 6-axis IMU gyroscope ×2</w:t>
            </w:r>
          </w:p>
        </w:tc>
      </w:tr>
      <w:tr>
        <w:tc>
          <w:tcPr>
            <w:tcW w:type="dxa" w:w="3000"/>
            <w:tcBorders>
              <w:top w:val="single" w:color="BFBFBF" w:sz="4"/>
              <w:left w:val="single" w:color="BFBFBF" w:sz="4"/>
              <w:bottom w:val="single" w:color="BFBFBF" w:sz="4"/>
              <w:right w:val="single" w:color="BFBFBF" w:sz="4"/>
            </w:tcBorders>
            <w:shd w:fill="F2F2F2" w:color="auto" w:val="clear"/>
            <w:tcMar>
              <w:top w:type="dxa" w:w="90"/>
              <w:left w:type="dxa" w:w="140"/>
              <w:bottom w:type="dxa" w:w="90"/>
              <w:right w:type="dxa" w:w="140"/>
            </w:tcMar>
          </w:tcPr>
          <w:p>
            <w:pPr>
              <w:spacing w:after="0" w:before="0"/>
            </w:pPr>
            <w:r>
              <w:rPr>
                <w:rFonts w:ascii="Calibri" w:cs="Calibri" w:eastAsia="Calibri" w:hAnsi="Calibri"/>
                <w:b/>
                <w:bCs/>
                <w:sz w:val="20"/>
                <w:szCs w:val="20"/>
              </w:rPr>
              <w:t xml:space="preserve">Battery</w:t>
            </w:r>
          </w:p>
        </w:tc>
        <w:tc>
          <w:tcPr>
            <w:tcW w:type="dxa" w:w="6360"/>
            <w:tcBorders>
              <w:top w:val="single" w:color="BFBFBF" w:sz="4"/>
              <w:left w:val="single" w:color="BFBFBF" w:sz="4"/>
              <w:bottom w:val="single" w:color="BFBFBF" w:sz="4"/>
              <w:right w:val="single" w:color="BFBFBF" w:sz="4"/>
            </w:tcBorders>
            <w:tcMar>
              <w:top w:type="dxa" w:w="90"/>
              <w:left w:type="dxa" w:w="140"/>
              <w:bottom w:type="dxa" w:w="90"/>
              <w:right w:type="dxa" w:w="140"/>
            </w:tcMar>
          </w:tcPr>
          <w:p>
            <w:pPr>
              <w:spacing w:after="0" w:before="0"/>
            </w:pPr>
            <w:r>
              <w:rPr>
                <w:rFonts w:ascii="Calibri" w:cs="Calibri" w:eastAsia="Calibri" w:hAnsi="Calibri"/>
                <w:b w:val="false"/>
                <w:bCs w:val="false"/>
                <w:sz w:val="20"/>
                <w:szCs w:val="20"/>
              </w:rPr>
              <w:t xml:space="preserve">Up to 80 Whr 4-cell Li-ion (60 Whr option)</w:t>
            </w:r>
          </w:p>
        </w:tc>
      </w:tr>
      <w:tr>
        <w:tc>
          <w:tcPr>
            <w:tcW w:type="dxa" w:w="3000"/>
            <w:tcBorders>
              <w:top w:val="single" w:color="BFBFBF" w:sz="4"/>
              <w:left w:val="single" w:color="BFBFBF" w:sz="4"/>
              <w:bottom w:val="single" w:color="BFBFBF" w:sz="4"/>
              <w:right w:val="single" w:color="BFBFBF" w:sz="4"/>
            </w:tcBorders>
            <w:shd w:fill="F2F2F2" w:color="auto" w:val="clear"/>
            <w:tcMar>
              <w:top w:type="dxa" w:w="90"/>
              <w:left w:type="dxa" w:w="140"/>
              <w:bottom w:type="dxa" w:w="90"/>
              <w:right w:type="dxa" w:w="140"/>
            </w:tcMar>
          </w:tcPr>
          <w:p>
            <w:pPr>
              <w:spacing w:after="0" w:before="0"/>
            </w:pPr>
            <w:r>
              <w:rPr>
                <w:rFonts w:ascii="Calibri" w:cs="Calibri" w:eastAsia="Calibri" w:hAnsi="Calibri"/>
                <w:b/>
                <w:bCs/>
                <w:sz w:val="20"/>
                <w:szCs w:val="20"/>
              </w:rPr>
              <w:t xml:space="preserve">Charging</w:t>
            </w:r>
          </w:p>
        </w:tc>
        <w:tc>
          <w:tcPr>
            <w:tcW w:type="dxa" w:w="6360"/>
            <w:tcBorders>
              <w:top w:val="single" w:color="BFBFBF" w:sz="4"/>
              <w:left w:val="single" w:color="BFBFBF" w:sz="4"/>
              <w:bottom w:val="single" w:color="BFBFBF" w:sz="4"/>
              <w:right w:val="single" w:color="BFBFBF" w:sz="4"/>
            </w:tcBorders>
            <w:tcMar>
              <w:top w:type="dxa" w:w="90"/>
              <w:left w:type="dxa" w:w="140"/>
              <w:bottom w:type="dxa" w:w="90"/>
              <w:right w:type="dxa" w:w="140"/>
            </w:tcMar>
          </w:tcPr>
          <w:p>
            <w:pPr>
              <w:spacing w:after="0" w:before="0"/>
            </w:pPr>
            <w:r>
              <w:rPr>
                <w:rFonts w:ascii="Calibri" w:cs="Calibri" w:eastAsia="Calibri" w:hAnsi="Calibri"/>
                <w:b w:val="false"/>
                <w:bCs w:val="false"/>
                <w:sz w:val="20"/>
                <w:szCs w:val="20"/>
              </w:rPr>
              <w:t xml:space="preserve">65W USB-C PD adapter</w:t>
            </w:r>
          </w:p>
        </w:tc>
      </w:tr>
      <w:tr>
        <w:tc>
          <w:tcPr>
            <w:tcW w:type="dxa" w:w="3000"/>
            <w:tcBorders>
              <w:top w:val="single" w:color="BFBFBF" w:sz="4"/>
              <w:left w:val="single" w:color="BFBFBF" w:sz="4"/>
              <w:bottom w:val="single" w:color="BFBFBF" w:sz="4"/>
              <w:right w:val="single" w:color="BFBFBF" w:sz="4"/>
            </w:tcBorders>
            <w:shd w:fill="F2F2F2" w:color="auto" w:val="clear"/>
            <w:tcMar>
              <w:top w:type="dxa" w:w="90"/>
              <w:left w:type="dxa" w:w="140"/>
              <w:bottom w:type="dxa" w:w="90"/>
              <w:right w:type="dxa" w:w="140"/>
            </w:tcMar>
          </w:tcPr>
          <w:p>
            <w:pPr>
              <w:spacing w:after="0" w:before="0"/>
            </w:pPr>
            <w:r>
              <w:rPr>
                <w:rFonts w:ascii="Calibri" w:cs="Calibri" w:eastAsia="Calibri" w:hAnsi="Calibri"/>
                <w:b/>
                <w:bCs/>
                <w:sz w:val="20"/>
                <w:szCs w:val="20"/>
              </w:rPr>
              <w:t xml:space="preserve">Connectivity</w:t>
            </w:r>
          </w:p>
        </w:tc>
        <w:tc>
          <w:tcPr>
            <w:tcW w:type="dxa" w:w="6360"/>
            <w:tcBorders>
              <w:top w:val="single" w:color="BFBFBF" w:sz="4"/>
              <w:left w:val="single" w:color="BFBFBF" w:sz="4"/>
              <w:bottom w:val="single" w:color="BFBFBF" w:sz="4"/>
              <w:right w:val="single" w:color="BFBFBF" w:sz="4"/>
            </w:tcBorders>
            <w:tcMar>
              <w:top w:type="dxa" w:w="90"/>
              <w:left w:type="dxa" w:w="140"/>
              <w:bottom w:type="dxa" w:w="90"/>
              <w:right w:type="dxa" w:w="140"/>
            </w:tcMar>
          </w:tcPr>
          <w:p>
            <w:pPr>
              <w:spacing w:after="0" w:before="0"/>
            </w:pPr>
            <w:r>
              <w:rPr>
                <w:rFonts w:ascii="Calibri" w:cs="Calibri" w:eastAsia="Calibri" w:hAnsi="Calibri"/>
                <w:b w:val="false"/>
                <w:bCs w:val="false"/>
                <w:sz w:val="20"/>
                <w:szCs w:val="20"/>
              </w:rPr>
              <w:t xml:space="preserve">Wi-Fi 7 (Intel® Killer™ 1775s); Bluetooth® 5.4; Dual Thunderbolt™ 4; UHS-I microSD 3.0; 3.5mm combo jack; fingerprint power button</w:t>
            </w:r>
          </w:p>
        </w:tc>
      </w:tr>
      <w:tr>
        <w:tc>
          <w:tcPr>
            <w:tcW w:type="dxa" w:w="3000"/>
            <w:tcBorders>
              <w:top w:val="single" w:color="BFBFBF" w:sz="4"/>
              <w:left w:val="single" w:color="BFBFBF" w:sz="4"/>
              <w:bottom w:val="single" w:color="BFBFBF" w:sz="4"/>
              <w:right w:val="single" w:color="BFBFBF" w:sz="4"/>
            </w:tcBorders>
            <w:shd w:fill="F2F2F2" w:color="auto" w:val="clear"/>
            <w:tcMar>
              <w:top w:type="dxa" w:w="90"/>
              <w:left w:type="dxa" w:w="140"/>
              <w:bottom w:type="dxa" w:w="90"/>
              <w:right w:type="dxa" w:w="140"/>
            </w:tcMar>
          </w:tcPr>
          <w:p>
            <w:pPr>
              <w:spacing w:after="0" w:before="0"/>
            </w:pPr>
            <w:r>
              <w:rPr>
                <w:rFonts w:ascii="Calibri" w:cs="Calibri" w:eastAsia="Calibri" w:hAnsi="Calibri"/>
                <w:b/>
                <w:bCs/>
                <w:sz w:val="20"/>
                <w:szCs w:val="20"/>
              </w:rPr>
              <w:t xml:space="preserve">Audio</w:t>
            </w:r>
          </w:p>
        </w:tc>
        <w:tc>
          <w:tcPr>
            <w:tcW w:type="dxa" w:w="6360"/>
            <w:tcBorders>
              <w:top w:val="single" w:color="BFBFBF" w:sz="4"/>
              <w:left w:val="single" w:color="BFBFBF" w:sz="4"/>
              <w:bottom w:val="single" w:color="BFBFBF" w:sz="4"/>
              <w:right w:val="single" w:color="BFBFBF" w:sz="4"/>
            </w:tcBorders>
            <w:tcMar>
              <w:top w:type="dxa" w:w="90"/>
              <w:left w:type="dxa" w:w="140"/>
              <w:bottom w:type="dxa" w:w="90"/>
              <w:right w:type="dxa" w:w="140"/>
            </w:tcMar>
          </w:tcPr>
          <w:p>
            <w:pPr>
              <w:spacing w:after="0" w:before="0"/>
            </w:pPr>
            <w:r>
              <w:rPr>
                <w:rFonts w:ascii="Calibri" w:cs="Calibri" w:eastAsia="Calibri" w:hAnsi="Calibri"/>
                <w:b w:val="false"/>
                <w:bCs w:val="false"/>
                <w:sz w:val="20"/>
                <w:szCs w:val="20"/>
              </w:rPr>
              <w:t xml:space="preserve">2× 2W speakers; DTS:X® Ultra; Hi-Res Audio Ready; dual onboard microphones with Acer PurifiedVoice™</w:t>
            </w:r>
          </w:p>
        </w:tc>
      </w:tr>
      <w:tr>
        <w:tc>
          <w:tcPr>
            <w:tcW w:type="dxa" w:w="3000"/>
            <w:tcBorders>
              <w:top w:val="single" w:color="BFBFBF" w:sz="4"/>
              <w:left w:val="single" w:color="BFBFBF" w:sz="4"/>
              <w:bottom w:val="single" w:color="BFBFBF" w:sz="4"/>
              <w:right w:val="single" w:color="BFBFBF" w:sz="4"/>
            </w:tcBorders>
            <w:shd w:fill="F2F2F2" w:color="auto" w:val="clear"/>
            <w:tcMar>
              <w:top w:type="dxa" w:w="90"/>
              <w:left w:type="dxa" w:w="140"/>
              <w:bottom w:type="dxa" w:w="90"/>
              <w:right w:type="dxa" w:w="140"/>
            </w:tcMar>
          </w:tcPr>
          <w:p>
            <w:pPr>
              <w:spacing w:after="0" w:before="0"/>
            </w:pPr>
            <w:r>
              <w:rPr>
                <w:rFonts w:ascii="Calibri" w:cs="Calibri" w:eastAsia="Calibri" w:hAnsi="Calibri"/>
                <w:b/>
                <w:bCs/>
                <w:sz w:val="20"/>
                <w:szCs w:val="20"/>
              </w:rPr>
              <w:t xml:space="preserve">Software</w:t>
            </w:r>
          </w:p>
        </w:tc>
        <w:tc>
          <w:tcPr>
            <w:tcW w:type="dxa" w:w="6360"/>
            <w:tcBorders>
              <w:top w:val="single" w:color="BFBFBF" w:sz="4"/>
              <w:left w:val="single" w:color="BFBFBF" w:sz="4"/>
              <w:bottom w:val="single" w:color="BFBFBF" w:sz="4"/>
              <w:right w:val="single" w:color="BFBFBF" w:sz="4"/>
            </w:tcBorders>
            <w:tcMar>
              <w:top w:type="dxa" w:w="90"/>
              <w:left w:type="dxa" w:w="140"/>
              <w:bottom w:type="dxa" w:w="90"/>
              <w:right w:type="dxa" w:w="140"/>
            </w:tcMar>
          </w:tcPr>
          <w:p>
            <w:pPr>
              <w:spacing w:after="0" w:before="0"/>
            </w:pPr>
            <w:r>
              <w:rPr>
                <w:rFonts w:ascii="Calibri" w:cs="Calibri" w:eastAsia="Calibri" w:hAnsi="Calibri"/>
                <w:b w:val="false"/>
                <w:bCs w:val="false"/>
                <w:sz w:val="20"/>
                <w:szCs w:val="20"/>
              </w:rPr>
              <w:t xml:space="preserve">PredatorSense (dedicated button + full app); Xbox Game Bar widget; Endurance Gaming profiles</w:t>
            </w:r>
          </w:p>
        </w:tc>
      </w:tr>
      <w:tr>
        <w:tc>
          <w:tcPr>
            <w:tcW w:type="dxa" w:w="3000"/>
            <w:tcBorders>
              <w:top w:val="single" w:color="BFBFBF" w:sz="4"/>
              <w:left w:val="single" w:color="BFBFBF" w:sz="4"/>
              <w:bottom w:val="single" w:color="BFBFBF" w:sz="4"/>
              <w:right w:val="single" w:color="BFBFBF" w:sz="4"/>
            </w:tcBorders>
            <w:shd w:fill="F2F2F2" w:color="auto" w:val="clear"/>
            <w:tcMar>
              <w:top w:type="dxa" w:w="90"/>
              <w:left w:type="dxa" w:w="140"/>
              <w:bottom w:type="dxa" w:w="90"/>
              <w:right w:type="dxa" w:w="140"/>
            </w:tcMar>
          </w:tcPr>
          <w:p>
            <w:pPr>
              <w:spacing w:after="0" w:before="0"/>
            </w:pPr>
            <w:r>
              <w:rPr>
                <w:rFonts w:ascii="Calibri" w:cs="Calibri" w:eastAsia="Calibri" w:hAnsi="Calibri"/>
                <w:b/>
                <w:bCs/>
                <w:sz w:val="20"/>
                <w:szCs w:val="20"/>
              </w:rPr>
              <w:t xml:space="preserve">Included Subscriptions</w:t>
            </w:r>
          </w:p>
        </w:tc>
        <w:tc>
          <w:tcPr>
            <w:tcW w:type="dxa" w:w="6360"/>
            <w:tcBorders>
              <w:top w:val="single" w:color="BFBFBF" w:sz="4"/>
              <w:left w:val="single" w:color="BFBFBF" w:sz="4"/>
              <w:bottom w:val="single" w:color="BFBFBF" w:sz="4"/>
              <w:right w:val="single" w:color="BFBFBF" w:sz="4"/>
            </w:tcBorders>
            <w:tcMar>
              <w:top w:type="dxa" w:w="90"/>
              <w:left w:type="dxa" w:w="140"/>
              <w:bottom w:type="dxa" w:w="90"/>
              <w:right w:type="dxa" w:w="140"/>
            </w:tcMar>
          </w:tcPr>
          <w:p>
            <w:pPr>
              <w:spacing w:after="0" w:before="0"/>
            </w:pPr>
            <w:r>
              <w:rPr>
                <w:rFonts w:ascii="Calibri" w:cs="Calibri" w:eastAsia="Calibri" w:hAnsi="Calibri"/>
                <w:b w:val="false"/>
                <w:bCs w:val="false"/>
                <w:sz w:val="20"/>
                <w:szCs w:val="20"/>
              </w:rPr>
              <w:t xml:space="preserve">2 months Xbox Game Pass Premium OR 3 months PC Game Pass (region dependent)</w:t>
            </w:r>
          </w:p>
        </w:tc>
      </w:tr>
      <w:tr>
        <w:tc>
          <w:tcPr>
            <w:tcW w:type="dxa" w:w="3000"/>
            <w:tcBorders>
              <w:top w:val="single" w:color="BFBFBF" w:sz="4"/>
              <w:left w:val="single" w:color="BFBFBF" w:sz="4"/>
              <w:bottom w:val="single" w:color="BFBFBF" w:sz="4"/>
              <w:right w:val="single" w:color="BFBFBF" w:sz="4"/>
            </w:tcBorders>
            <w:shd w:fill="F2F2F2" w:color="auto" w:val="clear"/>
            <w:tcMar>
              <w:top w:type="dxa" w:w="90"/>
              <w:left w:type="dxa" w:w="140"/>
              <w:bottom w:type="dxa" w:w="90"/>
              <w:right w:type="dxa" w:w="140"/>
            </w:tcMar>
          </w:tcPr>
          <w:p>
            <w:pPr>
              <w:spacing w:after="0" w:before="0"/>
            </w:pPr>
            <w:r>
              <w:rPr>
                <w:rFonts w:ascii="Calibri" w:cs="Calibri" w:eastAsia="Calibri" w:hAnsi="Calibri"/>
                <w:b/>
                <w:bCs/>
                <w:sz w:val="20"/>
                <w:szCs w:val="20"/>
              </w:rPr>
              <w:t xml:space="preserve">Dimensions</w:t>
            </w:r>
          </w:p>
        </w:tc>
        <w:tc>
          <w:tcPr>
            <w:tcW w:type="dxa" w:w="6360"/>
            <w:tcBorders>
              <w:top w:val="single" w:color="BFBFBF" w:sz="4"/>
              <w:left w:val="single" w:color="BFBFBF" w:sz="4"/>
              <w:bottom w:val="single" w:color="BFBFBF" w:sz="4"/>
              <w:right w:val="single" w:color="BFBFBF" w:sz="4"/>
            </w:tcBorders>
            <w:tcMar>
              <w:top w:type="dxa" w:w="90"/>
              <w:left w:type="dxa" w:w="140"/>
              <w:bottom w:type="dxa" w:w="90"/>
              <w:right w:type="dxa" w:w="140"/>
            </w:tcMar>
          </w:tcPr>
          <w:p>
            <w:pPr>
              <w:spacing w:after="0" w:before="0"/>
            </w:pPr>
            <w:r>
              <w:rPr>
                <w:rFonts w:ascii="Calibri" w:cs="Calibri" w:eastAsia="Calibri" w:hAnsi="Calibri"/>
                <w:b w:val="false"/>
                <w:bCs w:val="false"/>
                <w:sz w:val="20"/>
                <w:szCs w:val="20"/>
              </w:rPr>
              <w:t xml:space="preserve">292 × 112.7-123 × 28.5-48.4 mm</w:t>
            </w:r>
          </w:p>
        </w:tc>
      </w:tr>
      <w:tr>
        <w:tc>
          <w:tcPr>
            <w:tcW w:type="dxa" w:w="3000"/>
            <w:tcBorders>
              <w:top w:val="single" w:color="BFBFBF" w:sz="4"/>
              <w:left w:val="single" w:color="BFBFBF" w:sz="4"/>
              <w:bottom w:val="single" w:color="BFBFBF" w:sz="4"/>
              <w:right w:val="single" w:color="BFBFBF" w:sz="4"/>
            </w:tcBorders>
            <w:shd w:fill="F2F2F2" w:color="auto" w:val="clear"/>
            <w:tcMar>
              <w:top w:type="dxa" w:w="90"/>
              <w:left w:type="dxa" w:w="140"/>
              <w:bottom w:type="dxa" w:w="90"/>
              <w:right w:type="dxa" w:w="140"/>
            </w:tcMar>
          </w:tcPr>
          <w:p>
            <w:pPr>
              <w:spacing w:after="0" w:before="0"/>
            </w:pPr>
            <w:r>
              <w:rPr>
                <w:rFonts w:ascii="Calibri" w:cs="Calibri" w:eastAsia="Calibri" w:hAnsi="Calibri"/>
                <w:b/>
                <w:bCs/>
                <w:sz w:val="20"/>
                <w:szCs w:val="20"/>
              </w:rPr>
              <w:t xml:space="preserve">Weight</w:t>
            </w:r>
          </w:p>
        </w:tc>
        <w:tc>
          <w:tcPr>
            <w:tcW w:type="dxa" w:w="6360"/>
            <w:tcBorders>
              <w:top w:val="single" w:color="BFBFBF" w:sz="4"/>
              <w:left w:val="single" w:color="BFBFBF" w:sz="4"/>
              <w:bottom w:val="single" w:color="BFBFBF" w:sz="4"/>
              <w:right w:val="single" w:color="BFBFBF" w:sz="4"/>
            </w:tcBorders>
            <w:tcMar>
              <w:top w:type="dxa" w:w="90"/>
              <w:left w:type="dxa" w:w="140"/>
              <w:bottom w:type="dxa" w:w="90"/>
              <w:right w:type="dxa" w:w="140"/>
            </w:tcMar>
          </w:tcPr>
          <w:p>
            <w:pPr>
              <w:spacing w:after="0" w:before="0"/>
            </w:pPr>
            <w:r>
              <w:rPr>
                <w:rFonts w:ascii="Calibri" w:cs="Calibri" w:eastAsia="Calibri" w:hAnsi="Calibri"/>
                <w:b w:val="false"/>
                <w:bCs w:val="false"/>
                <w:sz w:val="20"/>
                <w:szCs w:val="20"/>
              </w:rPr>
              <w:t xml:space="preserve">&lt;750 g (80 Whr) / &lt;700 g (60 Whr)</w:t>
            </w:r>
          </w:p>
        </w:tc>
      </w:tr>
      <w:tr>
        <w:tc>
          <w:tcPr>
            <w:tcW w:type="dxa" w:w="3000"/>
            <w:tcBorders>
              <w:top w:val="single" w:color="BFBFBF" w:sz="4"/>
              <w:left w:val="single" w:color="BFBFBF" w:sz="4"/>
              <w:bottom w:val="single" w:color="BFBFBF" w:sz="4"/>
              <w:right w:val="single" w:color="BFBFBF" w:sz="4"/>
            </w:tcBorders>
            <w:shd w:fill="F2F2F2" w:color="auto" w:val="clear"/>
            <w:tcMar>
              <w:top w:type="dxa" w:w="90"/>
              <w:left w:type="dxa" w:w="140"/>
              <w:bottom w:type="dxa" w:w="90"/>
              <w:right w:type="dxa" w:w="140"/>
            </w:tcMar>
          </w:tcPr>
          <w:p>
            <w:pPr>
              <w:spacing w:after="0" w:before="0"/>
            </w:pPr>
            <w:r>
              <w:rPr>
                <w:rFonts w:ascii="Calibri" w:cs="Calibri" w:eastAsia="Calibri" w:hAnsi="Calibri"/>
                <w:b/>
                <w:bCs/>
                <w:sz w:val="20"/>
                <w:szCs w:val="20"/>
              </w:rPr>
              <w:t xml:space="preserve">Materials / Colour</w:t>
            </w:r>
          </w:p>
        </w:tc>
        <w:tc>
          <w:tcPr>
            <w:tcW w:type="dxa" w:w="6360"/>
            <w:tcBorders>
              <w:top w:val="single" w:color="BFBFBF" w:sz="4"/>
              <w:left w:val="single" w:color="BFBFBF" w:sz="4"/>
              <w:bottom w:val="single" w:color="BFBFBF" w:sz="4"/>
              <w:right w:val="single" w:color="BFBFBF" w:sz="4"/>
            </w:tcBorders>
            <w:tcMar>
              <w:top w:type="dxa" w:w="90"/>
              <w:left w:type="dxa" w:w="140"/>
              <w:bottom w:type="dxa" w:w="90"/>
              <w:right w:type="dxa" w:w="140"/>
            </w:tcMar>
          </w:tcPr>
          <w:p>
            <w:pPr>
              <w:spacing w:after="0" w:before="0"/>
            </w:pPr>
            <w:r>
              <w:rPr>
                <w:rFonts w:ascii="Calibri" w:cs="Calibri" w:eastAsia="Calibri" w:hAnsi="Calibri"/>
                <w:b w:val="false"/>
                <w:bCs w:val="false"/>
                <w:sz w:val="20"/>
                <w:szCs w:val="20"/>
              </w:rPr>
              <w:t xml:space="preserve">Plastic chassis; Black</w:t>
            </w:r>
          </w:p>
        </w:tc>
      </w:tr>
    </w:tbl>
    <w:p>
      <w:pPr>
        <w:pStyle w:val="Heading2"/>
        <w:spacing w:after="100" w:before="280"/>
      </w:pPr>
      <w:r>
        <w:rPr>
          <w:rFonts w:ascii="Calibri" w:cs="Calibri" w:eastAsia="Calibri" w:hAnsi="Calibri"/>
          <w:b/>
          <w:bCs/>
          <w:color w:val="1A1A1A"/>
          <w:sz w:val="26"/>
          <w:szCs w:val="26"/>
        </w:rPr>
        <w:t xml:space="preserve">Embargo &amp; Launch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c>
          <w:tcPr>
            <w:tcW w:type="dxa" w:w="3400"/>
            <w:tcBorders>
              <w:top w:val="single" w:color="BFBFBF" w:sz="4"/>
              <w:left w:val="single" w:color="BFBFBF" w:sz="4"/>
              <w:bottom w:val="single" w:color="BFBFBF" w:sz="4"/>
              <w:right w:val="single" w:color="BFBFBF" w:sz="4"/>
            </w:tcBorders>
            <w:shd w:fill="F2F2F2" w:color="auto" w:val="clear"/>
            <w:tcMar>
              <w:top w:type="dxa" w:w="90"/>
              <w:left w:type="dxa" w:w="140"/>
              <w:bottom w:type="dxa" w:w="90"/>
              <w:right w:type="dxa" w:w="140"/>
            </w:tcMar>
          </w:tcPr>
          <w:p>
            <w:pPr>
              <w:spacing w:after="0" w:before="0"/>
            </w:pPr>
            <w:r>
              <w:rPr>
                <w:rFonts w:ascii="Calibri" w:cs="Calibri" w:eastAsia="Calibri" w:hAnsi="Calibri"/>
                <w:b/>
                <w:bCs/>
                <w:sz w:val="20"/>
                <w:szCs w:val="20"/>
              </w:rPr>
              <w:t xml:space="preserve">News Embargo</w:t>
            </w:r>
          </w:p>
        </w:tc>
        <w:tc>
          <w:tcPr>
            <w:tcW w:type="dxa" w:w="5960"/>
            <w:tcBorders>
              <w:top w:val="single" w:color="BFBFBF" w:sz="4"/>
              <w:left w:val="single" w:color="BFBFBF" w:sz="4"/>
              <w:bottom w:val="single" w:color="BFBFBF" w:sz="4"/>
              <w:right w:val="single" w:color="BFBFBF" w:sz="4"/>
            </w:tcBorders>
            <w:tcMar>
              <w:top w:type="dxa" w:w="90"/>
              <w:left w:type="dxa" w:w="140"/>
              <w:bottom w:type="dxa" w:w="90"/>
              <w:right w:type="dxa" w:w="140"/>
            </w:tcMar>
          </w:tcPr>
          <w:p>
            <w:pPr>
              <w:spacing w:after="0" w:before="0"/>
            </w:pPr>
            <w:r>
              <w:rPr>
                <w:rFonts w:ascii="Calibri" w:cs="Calibri" w:eastAsia="Calibri" w:hAnsi="Calibri"/>
                <w:b w:val="false"/>
                <w:bCs w:val="false"/>
                <w:sz w:val="20"/>
                <w:szCs w:val="20"/>
              </w:rPr>
              <w:t xml:space="preserve">28 May to 04 June 2026</w:t>
            </w:r>
          </w:p>
        </w:tc>
      </w:tr>
      <w:tr>
        <w:tc>
          <w:tcPr>
            <w:tcW w:type="dxa" w:w="3400"/>
            <w:tcBorders>
              <w:top w:val="single" w:color="BFBFBF" w:sz="4"/>
              <w:left w:val="single" w:color="BFBFBF" w:sz="4"/>
              <w:bottom w:val="single" w:color="BFBFBF" w:sz="4"/>
              <w:right w:val="single" w:color="BFBFBF" w:sz="4"/>
            </w:tcBorders>
            <w:shd w:fill="F2F2F2" w:color="auto" w:val="clear"/>
            <w:tcMar>
              <w:top w:type="dxa" w:w="90"/>
              <w:left w:type="dxa" w:w="140"/>
              <w:bottom w:type="dxa" w:w="90"/>
              <w:right w:type="dxa" w:w="140"/>
            </w:tcMar>
          </w:tcPr>
          <w:p>
            <w:pPr>
              <w:spacing w:after="0" w:before="0"/>
            </w:pPr>
            <w:r>
              <w:rPr>
                <w:rFonts w:ascii="Calibri" w:cs="Calibri" w:eastAsia="Calibri" w:hAnsi="Calibri"/>
                <w:b/>
                <w:bCs/>
                <w:sz w:val="20"/>
                <w:szCs w:val="20"/>
              </w:rPr>
              <w:t xml:space="preserve">Review Embargo</w:t>
            </w:r>
          </w:p>
        </w:tc>
        <w:tc>
          <w:tcPr>
            <w:tcW w:type="dxa" w:w="5960"/>
            <w:tcBorders>
              <w:top w:val="single" w:color="BFBFBF" w:sz="4"/>
              <w:left w:val="single" w:color="BFBFBF" w:sz="4"/>
              <w:bottom w:val="single" w:color="BFBFBF" w:sz="4"/>
              <w:right w:val="single" w:color="BFBFBF" w:sz="4"/>
            </w:tcBorders>
            <w:tcMar>
              <w:top w:type="dxa" w:w="90"/>
              <w:left w:type="dxa" w:w="140"/>
              <w:bottom w:type="dxa" w:w="90"/>
              <w:right w:type="dxa" w:w="140"/>
            </w:tcMar>
          </w:tcPr>
          <w:p>
            <w:pPr>
              <w:spacing w:after="0" w:before="0"/>
            </w:pPr>
            <w:r>
              <w:rPr>
                <w:rFonts w:ascii="Calibri" w:cs="Calibri" w:eastAsia="Calibri" w:hAnsi="Calibri"/>
                <w:b w:val="false"/>
                <w:bCs w:val="false"/>
                <w:sz w:val="20"/>
                <w:szCs w:val="20"/>
              </w:rPr>
              <w:t xml:space="preserve">15 to 30 June 2026</w:t>
            </w:r>
          </w:p>
        </w:tc>
      </w:tr>
      <w:tr>
        <w:tc>
          <w:tcPr>
            <w:tcW w:type="dxa" w:w="3400"/>
            <w:tcBorders>
              <w:top w:val="single" w:color="BFBFBF" w:sz="4"/>
              <w:left w:val="single" w:color="BFBFBF" w:sz="4"/>
              <w:bottom w:val="single" w:color="BFBFBF" w:sz="4"/>
              <w:right w:val="single" w:color="BFBFBF" w:sz="4"/>
            </w:tcBorders>
            <w:shd w:fill="F2F2F2" w:color="auto" w:val="clear"/>
            <w:tcMar>
              <w:top w:type="dxa" w:w="90"/>
              <w:left w:type="dxa" w:w="140"/>
              <w:bottom w:type="dxa" w:w="90"/>
              <w:right w:type="dxa" w:w="140"/>
            </w:tcMar>
          </w:tcPr>
          <w:p>
            <w:pPr>
              <w:spacing w:after="0" w:before="0"/>
            </w:pPr>
            <w:r>
              <w:rPr>
                <w:rFonts w:ascii="Calibri" w:cs="Calibri" w:eastAsia="Calibri" w:hAnsi="Calibri"/>
                <w:b/>
                <w:bCs/>
                <w:sz w:val="20"/>
                <w:szCs w:val="20"/>
              </w:rPr>
              <w:t xml:space="preserve">Sales Embargo</w:t>
            </w:r>
          </w:p>
        </w:tc>
        <w:tc>
          <w:tcPr>
            <w:tcW w:type="dxa" w:w="5960"/>
            <w:tcBorders>
              <w:top w:val="single" w:color="BFBFBF" w:sz="4"/>
              <w:left w:val="single" w:color="BFBFBF" w:sz="4"/>
              <w:bottom w:val="single" w:color="BFBFBF" w:sz="4"/>
              <w:right w:val="single" w:color="BFBFBF" w:sz="4"/>
            </w:tcBorders>
            <w:tcMar>
              <w:top w:type="dxa" w:w="90"/>
              <w:left w:type="dxa" w:w="140"/>
              <w:bottom w:type="dxa" w:w="90"/>
              <w:right w:type="dxa" w:w="140"/>
            </w:tcMar>
          </w:tcPr>
          <w:p>
            <w:pPr>
              <w:spacing w:after="0" w:before="0"/>
            </w:pPr>
            <w:r>
              <w:rPr>
                <w:rFonts w:ascii="Calibri" w:cs="Calibri" w:eastAsia="Calibri" w:hAnsi="Calibri"/>
                <w:b w:val="false"/>
                <w:bCs w:val="false"/>
                <w:sz w:val="20"/>
                <w:szCs w:val="20"/>
              </w:rPr>
              <w:t xml:space="preserve">15 to 30 June 2026</w:t>
            </w:r>
          </w:p>
        </w:tc>
      </w:tr>
      <w:tr>
        <w:tc>
          <w:tcPr>
            <w:tcW w:type="dxa" w:w="3400"/>
            <w:tcBorders>
              <w:top w:val="single" w:color="BFBFBF" w:sz="4"/>
              <w:left w:val="single" w:color="BFBFBF" w:sz="4"/>
              <w:bottom w:val="single" w:color="BFBFBF" w:sz="4"/>
              <w:right w:val="single" w:color="BFBFBF" w:sz="4"/>
            </w:tcBorders>
            <w:shd w:fill="F2F2F2" w:color="auto" w:val="clear"/>
            <w:tcMar>
              <w:top w:type="dxa" w:w="90"/>
              <w:left w:type="dxa" w:w="140"/>
              <w:bottom w:type="dxa" w:w="90"/>
              <w:right w:type="dxa" w:w="140"/>
            </w:tcMar>
          </w:tcPr>
          <w:p>
            <w:pPr>
              <w:spacing w:after="0" w:before="0"/>
            </w:pPr>
            <w:r>
              <w:rPr>
                <w:rFonts w:ascii="Calibri" w:cs="Calibri" w:eastAsia="Calibri" w:hAnsi="Calibri"/>
                <w:b/>
                <w:bCs/>
                <w:sz w:val="20"/>
                <w:szCs w:val="20"/>
              </w:rPr>
              <w:t xml:space="preserve">First Customer Shipment</w:t>
            </w:r>
          </w:p>
        </w:tc>
        <w:tc>
          <w:tcPr>
            <w:tcW w:type="dxa" w:w="5960"/>
            <w:tcBorders>
              <w:top w:val="single" w:color="BFBFBF" w:sz="4"/>
              <w:left w:val="single" w:color="BFBFBF" w:sz="4"/>
              <w:bottom w:val="single" w:color="BFBFBF" w:sz="4"/>
              <w:right w:val="single" w:color="BFBFBF" w:sz="4"/>
            </w:tcBorders>
            <w:tcMar>
              <w:top w:type="dxa" w:w="90"/>
              <w:left w:type="dxa" w:w="140"/>
              <w:bottom w:type="dxa" w:w="90"/>
              <w:right w:type="dxa" w:w="140"/>
            </w:tcMar>
          </w:tcPr>
          <w:p>
            <w:pPr>
              <w:spacing w:after="0" w:before="0"/>
            </w:pPr>
            <w:r>
              <w:rPr>
                <w:rFonts w:ascii="Calibri" w:cs="Calibri" w:eastAsia="Calibri" w:hAnsi="Calibri"/>
                <w:b w:val="false"/>
                <w:bCs w:val="false"/>
                <w:sz w:val="20"/>
                <w:szCs w:val="20"/>
              </w:rPr>
              <w:t xml:space="preserve">August 2026</w:t>
            </w:r>
          </w:p>
        </w:tc>
      </w:tr>
    </w:tbl>
    <w:p>
      <w:pPr>
        <w:pStyle w:val="Heading2"/>
        <w:spacing w:after="100" w:before="280"/>
      </w:pPr>
      <w:r>
        <w:rPr>
          <w:rFonts w:ascii="Calibri" w:cs="Calibri" w:eastAsia="Calibri" w:hAnsi="Calibri"/>
          <w:b/>
          <w:bCs/>
          <w:color w:val="1A1A1A"/>
          <w:sz w:val="26"/>
          <w:szCs w:val="26"/>
        </w:rPr>
        <w:t xml:space="preserve">Substantiation Notes</w:t>
      </w:r>
    </w:p>
    <w:p>
      <w:pPr>
        <w:spacing w:after="120" w:before="0" w:line="300"/>
        <w:jc w:val="both"/>
      </w:pPr>
      <w:r>
        <w:rPr>
          <w:rFonts w:ascii="Calibri" w:cs="Calibri" w:eastAsia="Calibri" w:hAnsi="Calibri"/>
          <w:sz w:val="22"/>
          <w:szCs w:val="22"/>
        </w:rPr>
        <w:t xml:space="preserve">All performance metrics are based on Acer internal testing and design targets. Actual results may vary by model, configuration, workload, and region. The "first metal fan in a handheld" claim refers to models with built-in active cooling fans and is based on Acer internal research of publicly available handheld gaming PCs as of 17 April 2026. Trademarks: Intel, Arc, Xe, XeSS, Killer (Intel Corporation); Corning, Gorilla, Gorilla Glass, Victus (Corning Incorporated); DTS, DTS:X, DTS:X Ultra (Xperi Inc.); Microsoft, Windows, Xbox, Game Pass (Microsoft Corporation).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00" w:before="360"/>
      <w:outlineLvl w:val="0"/>
    </w:pPr>
    <w:rPr>
      <w:rFonts w:ascii="Calibri" w:cs="Calibri" w:eastAsia="Calibri" w:hAnsi="Calibri"/>
      <w:b/>
      <w:bCs/>
      <w:color w:val="AA0000"/>
      <w:sz w:val="30"/>
      <w:szCs w:val="30"/>
    </w:rPr>
  </w:style>
  <w:style w:type="paragraph" w:styleId="Heading2">
    <w:name w:val="Heading 2"/>
    <w:basedOn w:val="Normal"/>
    <w:next w:val="Normal"/>
    <w:qFormat/>
    <w:pPr>
      <w:spacing w:after="100" w:before="280"/>
      <w:outlineLvl w:val="1"/>
    </w:pPr>
    <w:rPr>
      <w:rFonts w:ascii="Calibri" w:cs="Calibri" w:eastAsia="Calibri" w:hAnsi="Calibri"/>
      <w:b/>
      <w:bCs/>
      <w:color w:val="1A1A1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2026-05-20T03:37:08.181Z</dcterms:created>
  <dcterms:modified xsi:type="dcterms:W3CDTF">2026-05-20T03:37:08.182Z</dcterms:modified>
</cp:coreProperties>
</file>

<file path=docProps/custom.xml><?xml version="1.0" encoding="utf-8"?>
<Properties xmlns="http://schemas.openxmlformats.org/officeDocument/2006/custom-properties" xmlns:vt="http://schemas.openxmlformats.org/officeDocument/2006/docPropsVTypes"/>
</file>