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36"/>
        <w:jc w:val="center"/>
        <w:rPr/>
      </w:pPr>
      <w:r>
        <w:rPr>
          <w:b/>
          <w:bCs/>
          <w:color w:val="1F3B5C"/>
          <w:spacing w:val="40"/>
          <w:sz w:val="40"/>
          <w:szCs w:val="40"/>
        </w:rPr>
        <w:t>CLARK GURDEN</w:t>
      </w:r>
    </w:p>
    <w:p>
      <w:pPr>
        <w:pStyle w:val="Normal"/>
        <w:spacing w:before="0" w:after="58"/>
        <w:jc w:val="center"/>
        <w:rPr/>
      </w:pPr>
      <w:r>
        <w:rPr>
          <w:rFonts w:eastAsia="Calibri" w:cs="Calibri"/>
          <w:b w:val="false"/>
          <w:bCs w:val="false"/>
          <w:i w:val="false"/>
          <w:iCs w:val="false"/>
          <w:color w:val="5A5F66"/>
          <w:sz w:val="18"/>
          <w:szCs w:val="18"/>
        </w:rPr>
        <w:t>Taipei, Taiwan   |   Native English   |   linkedin.com/in/clark-gurden   |   gurden.clark@gmail.com   |   +886 982-513-428</w:t>
      </w:r>
    </w:p>
    <w:p>
      <w:pPr>
        <w:pStyle w:val="Normal"/>
        <w:spacing w:before="0" w:after="18"/>
        <w:jc w:val="center"/>
        <w:rPr/>
      </w:pPr>
      <w:r>
        <w:rPr>
          <w:b/>
          <w:bCs/>
          <w:color w:val="222222"/>
          <w:spacing w:val="8"/>
          <w:sz w:val="17"/>
          <w:szCs w:val="17"/>
        </w:rPr>
        <w:t>PRODUCT &amp; BRAND MARKETING   |   GAMING HARDWARE, FURNITURE &amp; STREAMING GTM   |   TAIWAN-TO-GLOBAL</w:t>
      </w:r>
    </w:p>
    <w:p>
      <w:pPr>
        <w:pStyle w:val="Normal"/>
        <w:pBdr>
          <w:bottom w:val="single" w:sz="8" w:space="3" w:color="1F3B5C"/>
        </w:pBdr>
        <w:spacing w:before="240" w:after="92"/>
        <w:rPr/>
      </w:pPr>
      <w:r>
        <w:rPr>
          <w:b/>
          <w:bCs/>
          <w:caps/>
          <w:color w:val="1F3B5C"/>
          <w:spacing w:val="22"/>
          <w:sz w:val="22"/>
          <w:szCs w:val="22"/>
        </w:rPr>
        <w:t>Professional Summary</w:t>
      </w:r>
    </w:p>
    <w:p>
      <w:pPr>
        <w:pStyle w:val="Normal"/>
        <w:spacing w:lineRule="auto" w:line="262" w:before="0" w:after="40"/>
        <w:rPr/>
      </w:pPr>
      <w:r>
        <w:rPr>
          <w:rFonts w:eastAsia="Calibri" w:cs="Calibri"/>
          <w:b w:val="false"/>
          <w:bCs w:val="false"/>
          <w:i w:val="false"/>
          <w:iCs w:val="false"/>
          <w:color w:val="222222"/>
          <w:sz w:val="20"/>
          <w:szCs w:val="20"/>
        </w:rPr>
        <w:t xml:space="preserve">Product and brand marketing specialist with </w:t>
      </w:r>
      <w:r>
        <w:rPr>
          <w:rFonts w:eastAsia="Calibri" w:cs="Calibri"/>
          <w:b/>
          <w:bCs/>
          <w:i w:val="false"/>
          <w:iCs w:val="false"/>
          <w:color w:val="222222"/>
          <w:sz w:val="20"/>
          <w:szCs w:val="20"/>
        </w:rPr>
        <w:t>10+ years at Acer HQ</w:t>
      </w:r>
      <w:r>
        <w:rPr>
          <w:rFonts w:eastAsia="Calibri" w:cs="Calibri"/>
          <w:b w:val="false"/>
          <w:bCs w:val="false"/>
          <w:i w:val="false"/>
          <w:iCs w:val="false"/>
          <w:color w:val="222222"/>
          <w:sz w:val="20"/>
          <w:szCs w:val="20"/>
        </w:rPr>
        <w:t xml:space="preserve"> owning global positioning and go-to-market for Predator and Acer Nitro gaming hardware. Serves as the bridge between Taiwan engineering and global consumer and gaming communities, translating technical specifications into premium, </w:t>
      </w:r>
      <w:r>
        <w:rPr>
          <w:rFonts w:eastAsia="Calibri" w:cs="Calibri"/>
          <w:b/>
          <w:bCs/>
          <w:i w:val="false"/>
          <w:iCs w:val="false"/>
          <w:color w:val="222222"/>
          <w:sz w:val="20"/>
          <w:szCs w:val="20"/>
        </w:rPr>
        <w:t>enthusiast-tier</w:t>
      </w:r>
      <w:r>
        <w:rPr>
          <w:rFonts w:eastAsia="Calibri" w:cs="Calibri"/>
          <w:b w:val="false"/>
          <w:bCs w:val="false"/>
          <w:i w:val="false"/>
          <w:iCs w:val="false"/>
          <w:color w:val="222222"/>
          <w:sz w:val="20"/>
          <w:szCs w:val="20"/>
        </w:rPr>
        <w:t xml:space="preserve"> brand stories across North America, Europe, and Asia. Led brand consistency and launch execution across </w:t>
      </w:r>
      <w:r>
        <w:rPr>
          <w:rFonts w:eastAsia="Calibri" w:cs="Calibri"/>
          <w:b/>
          <w:bCs/>
          <w:i w:val="false"/>
          <w:iCs w:val="false"/>
          <w:color w:val="222222"/>
          <w:sz w:val="20"/>
          <w:szCs w:val="20"/>
        </w:rPr>
        <w:t>20-30 hardware launches annually</w:t>
      </w:r>
      <w:r>
        <w:rPr>
          <w:rFonts w:eastAsia="Calibri" w:cs="Calibri"/>
          <w:b w:val="false"/>
          <w:bCs w:val="false"/>
          <w:i w:val="false"/>
          <w:iCs w:val="false"/>
          <w:color w:val="222222"/>
          <w:sz w:val="20"/>
          <w:szCs w:val="20"/>
        </w:rPr>
        <w:t>, spanning laptops, desktops, handhelds, monitors, peripherals, audio, connected devices, and gaming furniture (Predator Thronos), with deep craft in GTM strategy, product naming, and lifecycle content from pre-launch through refresh.</w:t>
      </w:r>
    </w:p>
    <w:p>
      <w:pPr>
        <w:pStyle w:val="Normal"/>
        <w:pBdr>
          <w:bottom w:val="single" w:sz="8" w:space="3" w:color="1F3B5C"/>
        </w:pBdr>
        <w:spacing w:before="240" w:after="92"/>
        <w:rPr/>
      </w:pPr>
      <w:r>
        <w:rPr>
          <w:b/>
          <w:bCs/>
          <w:caps/>
          <w:color w:val="1F3B5C"/>
          <w:spacing w:val="22"/>
          <w:sz w:val="22"/>
          <w:szCs w:val="22"/>
        </w:rPr>
        <w:t>Core Strengths</w:t>
      </w:r>
    </w:p>
    <w:p>
      <w:pPr>
        <w:pStyle w:val="Normal"/>
        <w:spacing w:lineRule="auto" w:line="257" w:before="0" w:after="60"/>
        <w:rPr/>
      </w:pPr>
      <w:r>
        <w:rPr>
          <w:rFonts w:eastAsia="Calibri" w:cs="Calibri"/>
          <w:b/>
          <w:bCs/>
          <w:i w:val="false"/>
          <w:iCs w:val="false"/>
          <w:color w:val="1F3B5C"/>
          <w:sz w:val="20"/>
          <w:szCs w:val="20"/>
        </w:rPr>
        <w:t xml:space="preserve">Global Brand Strategy &amp; Positioning:  </w:t>
      </w:r>
      <w:r>
        <w:rPr>
          <w:rFonts w:eastAsia="Calibri" w:cs="Calibri"/>
          <w:b w:val="false"/>
          <w:bCs w:val="false"/>
          <w:i w:val="false"/>
          <w:iCs w:val="false"/>
          <w:color w:val="222222"/>
          <w:sz w:val="20"/>
          <w:szCs w:val="20"/>
        </w:rPr>
        <w:t>Brand Identity &amp; Voice | Enthusiast-Tier / Premium Positioning | Competitive Benchmarking | Portfolio Differentiation | Product Naming</w:t>
      </w:r>
    </w:p>
    <w:p>
      <w:pPr>
        <w:pStyle w:val="Normal"/>
        <w:spacing w:lineRule="auto" w:line="257" w:before="0" w:after="60"/>
        <w:rPr/>
      </w:pPr>
      <w:r>
        <w:rPr>
          <w:rFonts w:eastAsia="Calibri" w:cs="Calibri"/>
          <w:b/>
          <w:bCs/>
          <w:i w:val="false"/>
          <w:iCs w:val="false"/>
          <w:color w:val="1F3B5C"/>
          <w:sz w:val="20"/>
          <w:szCs w:val="20"/>
        </w:rPr>
        <w:t xml:space="preserve">End-to-End Product Marketing (GTM):  </w:t>
      </w:r>
      <w:r>
        <w:rPr>
          <w:rFonts w:eastAsia="Calibri" w:cs="Calibri"/>
          <w:b w:val="false"/>
          <w:bCs w:val="false"/>
          <w:i w:val="false"/>
          <w:iCs w:val="false"/>
          <w:color w:val="222222"/>
          <w:sz w:val="20"/>
          <w:szCs w:val="20"/>
        </w:rPr>
        <w:t>Go-to-Market Strategy | Launch Positioning | KSP Architecture | Global Copymasters | Pre-Launch to Refresh Lifecycle | Regional Localization</w:t>
      </w:r>
    </w:p>
    <w:p>
      <w:pPr>
        <w:pStyle w:val="Normal"/>
        <w:spacing w:lineRule="auto" w:line="257" w:before="0" w:after="60"/>
        <w:rPr/>
      </w:pPr>
      <w:r>
        <w:rPr>
          <w:rFonts w:eastAsia="Calibri" w:cs="Calibri"/>
          <w:b/>
          <w:bCs/>
          <w:i w:val="false"/>
          <w:iCs w:val="false"/>
          <w:color w:val="1F3B5C"/>
          <w:sz w:val="20"/>
          <w:szCs w:val="20"/>
        </w:rPr>
        <w:t xml:space="preserve">Content &amp; Creative Development:  </w:t>
      </w:r>
      <w:r>
        <w:rPr>
          <w:rFonts w:eastAsia="Calibri" w:cs="Calibri"/>
          <w:b w:val="false"/>
          <w:bCs w:val="false"/>
          <w:i w:val="false"/>
          <w:iCs w:val="false"/>
          <w:color w:val="222222"/>
          <w:sz w:val="20"/>
          <w:szCs w:val="20"/>
        </w:rPr>
        <w:t>Global Product Pages | A+ / eTail | Product &amp; Promo Video Scripts | Visual Asset &amp; Photography Review | Product Documentation | Reviewer &amp; Press Materials</w:t>
      </w:r>
    </w:p>
    <w:p>
      <w:pPr>
        <w:pStyle w:val="Normal"/>
        <w:spacing w:lineRule="auto" w:line="257" w:before="0" w:after="60"/>
        <w:rPr/>
      </w:pPr>
      <w:r>
        <w:rPr>
          <w:rFonts w:eastAsia="Calibri" w:cs="Calibri"/>
          <w:b/>
          <w:bCs/>
          <w:i w:val="false"/>
          <w:iCs w:val="false"/>
          <w:color w:val="1F3B5C"/>
          <w:sz w:val="20"/>
          <w:szCs w:val="20"/>
        </w:rPr>
        <w:t xml:space="preserve">Retail, Channel &amp; Partner:  </w:t>
      </w:r>
      <w:r>
        <w:rPr>
          <w:rFonts w:eastAsia="Calibri" w:cs="Calibri"/>
          <w:b w:val="false"/>
          <w:bCs w:val="false"/>
          <w:i w:val="false"/>
          <w:iCs w:val="false"/>
          <w:color w:val="222222"/>
          <w:sz w:val="20"/>
          <w:szCs w:val="20"/>
        </w:rPr>
        <w:t>Sales Enablement | Partner / Tender Documentation | e-Commerce Content | Packaging | Technical Product Sheets</w:t>
      </w:r>
    </w:p>
    <w:p>
      <w:pPr>
        <w:pStyle w:val="Normal"/>
        <w:spacing w:lineRule="auto" w:line="257" w:before="0" w:after="60"/>
        <w:rPr/>
      </w:pPr>
      <w:r>
        <w:rPr>
          <w:rFonts w:eastAsia="Calibri" w:cs="Calibri"/>
          <w:b/>
          <w:bCs/>
          <w:i w:val="false"/>
          <w:iCs w:val="false"/>
          <w:color w:val="1F3B5C"/>
          <w:sz w:val="20"/>
          <w:szCs w:val="20"/>
        </w:rPr>
        <w:t xml:space="preserve">Data &amp; Discovery:  </w:t>
      </w:r>
      <w:r>
        <w:rPr>
          <w:rFonts w:eastAsia="Calibri" w:cs="Calibri"/>
          <w:b w:val="false"/>
          <w:bCs w:val="false"/>
          <w:i w:val="false"/>
          <w:iCs w:val="false"/>
          <w:color w:val="222222"/>
          <w:sz w:val="20"/>
          <w:szCs w:val="20"/>
        </w:rPr>
        <w:t>SEMrush | Web-Traffic &amp; Search Data | SEO / GEO | CMS Workflows | AI-Assisted Content Pipelines | QA Systems</w:t>
      </w:r>
    </w:p>
    <w:p>
      <w:pPr>
        <w:pStyle w:val="Normal"/>
        <w:spacing w:lineRule="auto" w:line="257" w:before="0" w:after="60"/>
        <w:rPr/>
      </w:pPr>
      <w:r>
        <w:rPr>
          <w:rFonts w:eastAsia="Calibri" w:cs="Calibri"/>
          <w:b/>
          <w:bCs/>
          <w:i w:val="false"/>
          <w:iCs w:val="false"/>
          <w:color w:val="1F3B5C"/>
          <w:sz w:val="20"/>
          <w:szCs w:val="20"/>
        </w:rPr>
        <w:t xml:space="preserve">Cross-Functional Collaboration:  </w:t>
      </w:r>
      <w:r>
        <w:rPr>
          <w:rFonts w:eastAsia="Calibri" w:cs="Calibri"/>
          <w:b w:val="false"/>
          <w:bCs w:val="false"/>
          <w:i w:val="false"/>
          <w:iCs w:val="false"/>
          <w:color w:val="222222"/>
          <w:sz w:val="20"/>
          <w:szCs w:val="20"/>
        </w:rPr>
        <w:t>Product &amp; Engineering (Taiwan) | Business Stakeholders | Design | Web Operations | Legal | Sales | Regional Marketing | Agencies</w:t>
      </w:r>
    </w:p>
    <w:p>
      <w:pPr>
        <w:pStyle w:val="Normal"/>
        <w:pBdr>
          <w:bottom w:val="single" w:sz="8" w:space="3" w:color="1F3B5C"/>
        </w:pBdr>
        <w:spacing w:before="240" w:after="92"/>
        <w:rPr/>
      </w:pPr>
      <w:r>
        <w:rPr>
          <w:b/>
          <w:bCs/>
          <w:caps/>
          <w:color w:val="1F3B5C"/>
          <w:spacing w:val="22"/>
          <w:sz w:val="22"/>
          <w:szCs w:val="22"/>
        </w:rPr>
        <w:t>Professional Experience</w:t>
      </w:r>
    </w:p>
    <w:p>
      <w:pPr>
        <w:pStyle w:val="Normal"/>
        <w:spacing w:before="78" w:after="6"/>
        <w:rPr/>
      </w:pPr>
      <w:r>
        <w:rPr>
          <w:rFonts w:eastAsia="Calibri" w:cs="Calibri"/>
          <w:b/>
          <w:bCs/>
          <w:i w:val="false"/>
          <w:iCs w:val="false"/>
          <w:color w:val="222222"/>
          <w:sz w:val="22"/>
          <w:szCs w:val="22"/>
        </w:rPr>
        <w:t>Head Gaming Copywriter, Global Marketing &amp; Branding</w:t>
      </w:r>
      <w:r>
        <w:rPr>
          <w:rFonts w:eastAsia="Calibri" w:cs="Calibri"/>
          <w:b/>
          <w:bCs/>
          <w:i w:val="false"/>
          <w:iCs w:val="false"/>
          <w:color w:val="1F3B5C"/>
          <w:sz w:val="22"/>
          <w:szCs w:val="22"/>
        </w:rPr>
        <w:t xml:space="preserve">   |   Acer Inc.</w:t>
      </w:r>
    </w:p>
    <w:p>
      <w:pPr>
        <w:pStyle w:val="Normal"/>
        <w:spacing w:before="0" w:after="40"/>
        <w:rPr/>
      </w:pPr>
      <w:r>
        <w:rPr>
          <w:rFonts w:eastAsia="Calibri" w:cs="Calibri"/>
          <w:b w:val="false"/>
          <w:bCs w:val="false"/>
          <w:i/>
          <w:iCs/>
          <w:color w:val="5A5F66"/>
          <w:sz w:val="19"/>
          <w:szCs w:val="19"/>
        </w:rPr>
        <w:t>Taipei, Taiwan  |  Jun 2021 - Jul 2026   (Promoted from Gaming Brand Specialist / Creative Copywriter, Apr 2016 - Jun 2021)</w:t>
      </w:r>
    </w:p>
    <w:p>
      <w:pPr>
        <w:pStyle w:val="Normal"/>
        <w:spacing w:lineRule="auto" w:line="259" w:before="0" w:after="78"/>
        <w:rPr/>
      </w:pPr>
      <w:r>
        <w:rPr>
          <w:rFonts w:eastAsia="Calibri" w:cs="Calibri"/>
          <w:b w:val="false"/>
          <w:bCs w:val="false"/>
          <w:i w:val="false"/>
          <w:iCs w:val="false"/>
          <w:color w:val="222222"/>
          <w:sz w:val="20"/>
          <w:szCs w:val="20"/>
        </w:rPr>
        <w:t>Global product and brand marketing role for Predator and Acer Nitro, connecting Taiwan engineering, brand strategy, web, retail, sales, and regional execution across international markets.</w:t>
      </w:r>
    </w:p>
    <w:p>
      <w:pPr>
        <w:pStyle w:val="ListParagraph"/>
        <w:numPr>
          <w:ilvl w:val="0"/>
          <w:numId w:val="3"/>
        </w:numPr>
        <w:spacing w:lineRule="auto" w:line="262" w:before="0" w:after="64"/>
        <w:ind w:hanging="216" w:start="288"/>
        <w:rPr/>
      </w:pPr>
      <w:r>
        <w:rPr>
          <w:rFonts w:eastAsia="Calibri" w:cs="Calibri"/>
          <w:b w:val="false"/>
          <w:bCs w:val="false"/>
          <w:i w:val="false"/>
          <w:iCs w:val="false"/>
          <w:color w:val="222222"/>
          <w:sz w:val="20"/>
          <w:szCs w:val="20"/>
        </w:rPr>
        <w:t xml:space="preserve">Led global positioning and launch messaging across </w:t>
      </w:r>
      <w:r>
        <w:rPr>
          <w:rFonts w:eastAsia="Calibri" w:cs="Calibri"/>
          <w:b/>
          <w:bCs/>
          <w:i w:val="false"/>
          <w:iCs w:val="false"/>
          <w:color w:val="222222"/>
          <w:sz w:val="20"/>
          <w:szCs w:val="20"/>
        </w:rPr>
        <w:t>20-30 hardware releases annually</w:t>
      </w:r>
      <w:r>
        <w:rPr>
          <w:rFonts w:eastAsia="Calibri" w:cs="Calibri"/>
          <w:b w:val="false"/>
          <w:bCs w:val="false"/>
          <w:i w:val="false"/>
          <w:iCs w:val="false"/>
          <w:color w:val="222222"/>
          <w:sz w:val="20"/>
          <w:szCs w:val="20"/>
        </w:rPr>
        <w:t xml:space="preserve">, holding premium </w:t>
      </w:r>
      <w:r>
        <w:rPr>
          <w:rFonts w:eastAsia="Calibri" w:cs="Calibri"/>
          <w:b/>
          <w:bCs/>
          <w:i w:val="false"/>
          <w:iCs w:val="false"/>
          <w:color w:val="222222"/>
          <w:sz w:val="20"/>
          <w:szCs w:val="20"/>
        </w:rPr>
        <w:t>enthusiast-tier</w:t>
      </w:r>
      <w:r>
        <w:rPr>
          <w:rFonts w:eastAsia="Calibri" w:cs="Calibri"/>
          <w:b w:val="false"/>
          <w:bCs w:val="false"/>
          <w:i w:val="false"/>
          <w:iCs w:val="false"/>
          <w:color w:val="222222"/>
          <w:sz w:val="20"/>
          <w:szCs w:val="20"/>
        </w:rPr>
        <w:t xml:space="preserve"> positioning across North America, Europe, and Asia for laptops, desktops, handhelds, monitors, peripherals, audio, connected devices, and gaming furniture.</w:t>
      </w:r>
    </w:p>
    <w:p>
      <w:pPr>
        <w:pStyle w:val="ListParagraph"/>
        <w:numPr>
          <w:ilvl w:val="0"/>
          <w:numId w:val="1"/>
        </w:numPr>
        <w:spacing w:lineRule="auto" w:line="262" w:before="0" w:after="64"/>
        <w:ind w:hanging="216" w:start="288"/>
        <w:rPr/>
      </w:pPr>
      <w:r>
        <w:rPr>
          <w:rFonts w:eastAsia="Calibri" w:cs="Calibri"/>
          <w:b w:val="false"/>
          <w:bCs w:val="false"/>
          <w:i w:val="false"/>
          <w:iCs w:val="false"/>
          <w:color w:val="222222"/>
          <w:sz w:val="20"/>
          <w:szCs w:val="20"/>
        </w:rPr>
        <w:t>Partnered directly with product and engineering teams at Taiwan HQ to translate technical specifications into clear consumer benefits, KSP hierarchies, global copymasters, product pages, packaging, and campaign and video scripts.</w:t>
      </w:r>
    </w:p>
    <w:p>
      <w:pPr>
        <w:pStyle w:val="ListParagraph"/>
        <w:numPr>
          <w:ilvl w:val="0"/>
          <w:numId w:val="1"/>
        </w:numPr>
        <w:spacing w:lineRule="auto" w:line="262" w:before="0" w:after="64"/>
        <w:ind w:hanging="216" w:start="288"/>
        <w:rPr/>
      </w:pPr>
      <w:r>
        <w:rPr>
          <w:rFonts w:eastAsia="Calibri" w:cs="Calibri"/>
          <w:b w:val="false"/>
          <w:bCs w:val="false"/>
          <w:i w:val="false"/>
          <w:iCs w:val="false"/>
          <w:color w:val="222222"/>
          <w:sz w:val="20"/>
          <w:szCs w:val="20"/>
        </w:rPr>
        <w:t>Held distinct Predator premium-gaming and Acer Nitro mainstream-gaming positioning across markets, adapting global messaging while protecting brand consistency, technical accuracy, and legal requirements.</w:t>
      </w:r>
    </w:p>
    <w:p>
      <w:pPr>
        <w:pStyle w:val="ListParagraph"/>
        <w:numPr>
          <w:ilvl w:val="0"/>
          <w:numId w:val="1"/>
        </w:numPr>
        <w:spacing w:lineRule="auto" w:line="262" w:before="0" w:after="64"/>
        <w:ind w:hanging="216" w:start="288"/>
        <w:rPr/>
      </w:pPr>
      <w:r>
        <w:rPr>
          <w:rFonts w:eastAsia="Calibri" w:cs="Calibri"/>
          <w:b w:val="false"/>
          <w:bCs w:val="false"/>
          <w:i w:val="false"/>
          <w:iCs w:val="false"/>
          <w:color w:val="222222"/>
          <w:sz w:val="20"/>
          <w:szCs w:val="20"/>
        </w:rPr>
        <w:t>Supported the end-to-end launch lifecycle, from pre-launch positioning through launch execution and product refreshes, coordinating with regional teams to localize global campaigns without losing brand consistency.</w:t>
      </w:r>
    </w:p>
    <w:p>
      <w:pPr>
        <w:pStyle w:val="ListParagraph"/>
        <w:numPr>
          <w:ilvl w:val="0"/>
          <w:numId w:val="1"/>
        </w:numPr>
        <w:spacing w:lineRule="auto" w:line="262" w:before="0" w:after="64"/>
        <w:ind w:hanging="216" w:start="288"/>
        <w:rPr/>
      </w:pPr>
      <w:r>
        <w:rPr>
          <w:rFonts w:eastAsia="Calibri" w:cs="Calibri"/>
          <w:b w:val="false"/>
          <w:bCs w:val="false"/>
          <w:i w:val="false"/>
          <w:iCs w:val="false"/>
          <w:color w:val="222222"/>
          <w:sz w:val="20"/>
          <w:szCs w:val="20"/>
        </w:rPr>
        <w:t xml:space="preserve">Produced </w:t>
      </w:r>
      <w:r>
        <w:rPr>
          <w:rFonts w:eastAsia="Calibri" w:cs="Calibri"/>
          <w:b/>
          <w:bCs/>
          <w:i w:val="false"/>
          <w:iCs w:val="false"/>
          <w:color w:val="222222"/>
          <w:sz w:val="20"/>
          <w:szCs w:val="20"/>
        </w:rPr>
        <w:t>80+ regional technical product sheets annually</w:t>
      </w:r>
      <w:r>
        <w:rPr>
          <w:rFonts w:eastAsia="Calibri" w:cs="Calibri"/>
          <w:b w:val="false"/>
          <w:bCs w:val="false"/>
          <w:i w:val="false"/>
          <w:iCs w:val="false"/>
          <w:color w:val="222222"/>
          <w:sz w:val="20"/>
          <w:szCs w:val="20"/>
        </w:rPr>
        <w:t xml:space="preserve"> plus sales, partner, tender, and eTail materials, turning dense specifications into commercially usable content for channel, retail, and regional teams.</w:t>
      </w:r>
    </w:p>
    <w:p>
      <w:pPr>
        <w:pStyle w:val="ListParagraph"/>
        <w:numPr>
          <w:ilvl w:val="0"/>
          <w:numId w:val="1"/>
        </w:numPr>
        <w:spacing w:lineRule="auto" w:line="262" w:before="0" w:after="64"/>
        <w:ind w:hanging="216" w:start="288"/>
        <w:rPr/>
      </w:pPr>
      <w:r>
        <w:rPr>
          <w:rFonts w:eastAsia="Calibri" w:cs="Calibri"/>
          <w:b w:val="false"/>
          <w:bCs w:val="false"/>
          <w:i w:val="false"/>
          <w:iCs w:val="false"/>
          <w:color w:val="222222"/>
          <w:sz w:val="20"/>
          <w:szCs w:val="20"/>
        </w:rPr>
        <w:t xml:space="preserve">Created the </w:t>
      </w:r>
      <w:r>
        <w:rPr>
          <w:rFonts w:eastAsia="Calibri" w:cs="Calibri"/>
          <w:b/>
          <w:bCs/>
          <w:i w:val="false"/>
          <w:iCs w:val="false"/>
          <w:color w:val="222222"/>
          <w:sz w:val="20"/>
          <w:szCs w:val="20"/>
        </w:rPr>
        <w:t>Predator Gaming Technology hub</w:t>
      </w:r>
      <w:r>
        <w:rPr>
          <w:rFonts w:eastAsia="Calibri" w:cs="Calibri"/>
          <w:b w:val="false"/>
          <w:bCs w:val="false"/>
          <w:i w:val="false"/>
          <w:iCs w:val="false"/>
          <w:color w:val="222222"/>
          <w:sz w:val="20"/>
          <w:szCs w:val="20"/>
        </w:rPr>
        <w:t xml:space="preserve"> end-to-end, from information architecture, navigation, and icon system to copy and recurring technology updates including AeroBlade, Graphene TIM, Predator Vox, MagKey, and CycloneX 360 cooling and audio features.</w:t>
      </w:r>
    </w:p>
    <w:p>
      <w:pPr>
        <w:pStyle w:val="ListParagraph"/>
        <w:numPr>
          <w:ilvl w:val="0"/>
          <w:numId w:val="1"/>
        </w:numPr>
        <w:spacing w:lineRule="auto" w:line="262" w:before="0" w:after="64"/>
        <w:ind w:hanging="216" w:start="288"/>
        <w:rPr/>
      </w:pPr>
      <w:r>
        <w:rPr>
          <w:rFonts w:eastAsia="Calibri" w:cs="Calibri"/>
          <w:b w:val="false"/>
          <w:bCs w:val="false"/>
          <w:i w:val="false"/>
          <w:iCs w:val="false"/>
          <w:color w:val="222222"/>
          <w:sz w:val="20"/>
          <w:szCs w:val="20"/>
        </w:rPr>
        <w:t>Wrote product summaries and reviewer guides and represented Acer as a keynote and product speaker, giving press, reviewers, and stakeholders consistent, launch-ready product stories for live audiences.</w:t>
      </w:r>
    </w:p>
    <w:p>
      <w:pPr>
        <w:pStyle w:val="ListParagraph"/>
        <w:numPr>
          <w:ilvl w:val="0"/>
          <w:numId w:val="1"/>
        </w:numPr>
        <w:spacing w:lineRule="auto" w:line="262" w:before="0" w:after="64"/>
        <w:ind w:hanging="216" w:start="288"/>
        <w:rPr/>
      </w:pPr>
      <w:r>
        <w:rPr>
          <w:rFonts w:eastAsia="Calibri" w:cs="Calibri"/>
          <w:b w:val="false"/>
          <w:bCs w:val="false"/>
          <w:i w:val="false"/>
          <w:iCs w:val="false"/>
          <w:color w:val="222222"/>
          <w:sz w:val="20"/>
          <w:szCs w:val="20"/>
        </w:rPr>
        <w:t>Used SEMrush and web-traffic and search data to shape keyword-aware page architecture, metadata, FAQs, and content structure for traditional search and AI-driven discovery.</w:t>
      </w:r>
    </w:p>
    <w:p>
      <w:pPr>
        <w:pStyle w:val="Normal"/>
        <w:pBdr>
          <w:bottom w:val="single" w:sz="8" w:space="3" w:color="1F3B5C"/>
        </w:pBdr>
        <w:spacing w:before="240" w:after="92"/>
        <w:rPr/>
      </w:pPr>
      <w:r>
        <w:rPr>
          <w:b/>
          <w:bCs/>
          <w:caps/>
          <w:color w:val="1F3B5C"/>
          <w:spacing w:val="22"/>
          <w:sz w:val="22"/>
          <w:szCs w:val="22"/>
        </w:rPr>
        <w:t>Selected Relevant Work</w:t>
      </w:r>
    </w:p>
    <w:p>
      <w:pPr>
        <w:pStyle w:val="Normal"/>
        <w:spacing w:lineRule="auto" w:line="262" w:before="0" w:after="74"/>
        <w:rPr/>
      </w:pPr>
      <w:r>
        <w:rPr>
          <w:rFonts w:eastAsia="Calibri" w:cs="Calibri"/>
          <w:b/>
          <w:bCs/>
          <w:i w:val="false"/>
          <w:iCs w:val="false"/>
          <w:color w:val="1F3B5C"/>
          <w:sz w:val="20"/>
          <w:szCs w:val="20"/>
        </w:rPr>
        <w:t xml:space="preserve">Predator Gaming Furniture (Thronos, Thronos Air + Gaming Chairs):  </w:t>
      </w:r>
      <w:r>
        <w:rPr>
          <w:rFonts w:eastAsia="Calibri" w:cs="Calibri"/>
          <w:b w:val="false"/>
          <w:bCs w:val="false"/>
          <w:i w:val="false"/>
          <w:iCs w:val="false"/>
          <w:color w:val="222222"/>
          <w:sz w:val="20"/>
          <w:szCs w:val="20"/>
        </w:rPr>
        <w:t>Owned global launch copy and KSP hierarchy for Predator's enthusiast gaming chair and cockpit lines, working from deep product-level knowledge of the hardware and restructuring page content against competitor benchmarks to sharpen the furniture story and hold premium positioning.</w:t>
      </w:r>
    </w:p>
    <w:p>
      <w:pPr>
        <w:pStyle w:val="Normal"/>
        <w:spacing w:lineRule="auto" w:line="262" w:before="0" w:after="74"/>
        <w:rPr/>
      </w:pPr>
      <w:r>
        <w:rPr>
          <w:rFonts w:eastAsia="Calibri" w:cs="Calibri"/>
          <w:b/>
          <w:bCs/>
          <w:i w:val="false"/>
          <w:iCs w:val="false"/>
          <w:color w:val="1F3B5C"/>
          <w:sz w:val="20"/>
          <w:szCs w:val="20"/>
        </w:rPr>
        <w:t xml:space="preserve">Acer Nitro Blaze Link (streaming-first handheld):  </w:t>
      </w:r>
      <w:r>
        <w:rPr>
          <w:rFonts w:eastAsia="Calibri" w:cs="Calibri"/>
          <w:b w:val="false"/>
          <w:bCs w:val="false"/>
          <w:i w:val="false"/>
          <w:iCs w:val="false"/>
          <w:color w:val="222222"/>
          <w:sz w:val="20"/>
          <w:szCs w:val="20"/>
        </w:rPr>
        <w:t>Owned product messaging for a streaming-oriented handheld, defining a differentiated story around extending an existing PC gaming and streaming setup rather than replacing it.</w:t>
      </w:r>
    </w:p>
    <w:p>
      <w:pPr>
        <w:pStyle w:val="Normal"/>
        <w:spacing w:lineRule="auto" w:line="262" w:before="0" w:after="74"/>
        <w:rPr/>
      </w:pPr>
      <w:r>
        <w:rPr>
          <w:rFonts w:eastAsia="Calibri" w:cs="Calibri"/>
          <w:b/>
          <w:bCs/>
          <w:i w:val="false"/>
          <w:iCs w:val="false"/>
          <w:color w:val="1F3B5C"/>
          <w:sz w:val="20"/>
          <w:szCs w:val="20"/>
        </w:rPr>
        <w:t xml:space="preserve">Predator Atlas 8 (Computex 2026):  </w:t>
      </w:r>
      <w:r>
        <w:rPr>
          <w:rFonts w:eastAsia="Calibri" w:cs="Calibri"/>
          <w:b w:val="false"/>
          <w:bCs w:val="false"/>
          <w:i w:val="false"/>
          <w:iCs w:val="false"/>
          <w:color w:val="222222"/>
          <w:sz w:val="20"/>
          <w:szCs w:val="20"/>
        </w:rPr>
        <w:t>Led the global English copymaster, product summary, reviewer guide, and KSP structure for Predator's new Windows handheld category, translating specifications and brand requirements into launch-ready positioning.</w:t>
      </w:r>
    </w:p>
    <w:p>
      <w:pPr>
        <w:pStyle w:val="Normal"/>
        <w:spacing w:lineRule="auto" w:line="262" w:before="0" w:after="74"/>
        <w:rPr/>
      </w:pPr>
      <w:r>
        <w:rPr>
          <w:rFonts w:eastAsia="Calibri" w:cs="Calibri"/>
          <w:b/>
          <w:bCs/>
          <w:i w:val="false"/>
          <w:iCs w:val="false"/>
          <w:color w:val="1F3B5C"/>
          <w:sz w:val="20"/>
          <w:szCs w:val="20"/>
        </w:rPr>
        <w:t xml:space="preserve">Gaming Peripherals, Audio &amp; Connected Devices:  </w:t>
      </w:r>
      <w:r>
        <w:rPr>
          <w:rFonts w:eastAsia="Calibri" w:cs="Calibri"/>
          <w:b w:val="false"/>
          <w:bCs w:val="false"/>
          <w:i w:val="false"/>
          <w:iCs w:val="false"/>
          <w:color w:val="222222"/>
          <w:sz w:val="20"/>
          <w:szCs w:val="20"/>
        </w:rPr>
        <w:t>Developed messaging across keyboards, mice, headsets and audio, accessories, and connected-device features, adapting technical benefits for enthusiast buyers, retail formats, and global product pages.</w:t>
      </w:r>
    </w:p>
    <w:p>
      <w:pPr>
        <w:pStyle w:val="Normal"/>
        <w:spacing w:lineRule="auto" w:line="262" w:before="0" w:after="74"/>
        <w:rPr/>
      </w:pPr>
      <w:r>
        <w:rPr>
          <w:rFonts w:eastAsia="Calibri" w:cs="Calibri"/>
          <w:b/>
          <w:bCs/>
          <w:i w:val="false"/>
          <w:iCs w:val="false"/>
          <w:color w:val="1F3B5C"/>
          <w:sz w:val="20"/>
          <w:szCs w:val="20"/>
        </w:rPr>
        <w:t xml:space="preserve">Predator Gaming Technology Hub:  </w:t>
      </w:r>
      <w:r>
        <w:rPr>
          <w:rFonts w:eastAsia="Calibri" w:cs="Calibri"/>
          <w:b w:val="false"/>
          <w:bCs w:val="false"/>
          <w:i w:val="false"/>
          <w:iCs w:val="false"/>
          <w:color w:val="222222"/>
          <w:sz w:val="20"/>
          <w:szCs w:val="20"/>
        </w:rPr>
        <w:t>Built the page concept and system start to finish, including navigation, modular layout, icon-led category structure, and recurring refreshes. The live hub remains a direct example of 0-to-1 web and content platform ownership.</w:t>
      </w:r>
    </w:p>
    <w:p>
      <w:pPr>
        <w:pStyle w:val="Normal"/>
        <w:spacing w:lineRule="auto" w:line="262" w:before="0" w:after="74"/>
        <w:rPr/>
      </w:pPr>
      <w:r>
        <w:rPr>
          <w:rFonts w:eastAsia="Calibri" w:cs="Calibri"/>
          <w:b/>
          <w:bCs/>
          <w:i w:val="false"/>
          <w:iCs w:val="false"/>
          <w:color w:val="1F3B5C"/>
          <w:sz w:val="20"/>
          <w:szCs w:val="20"/>
        </w:rPr>
        <w:t xml:space="preserve">Product-Line Naming:  </w:t>
      </w:r>
      <w:r>
        <w:rPr>
          <w:rFonts w:eastAsia="Calibri" w:cs="Calibri"/>
          <w:b w:val="false"/>
          <w:bCs w:val="false"/>
          <w:i w:val="false"/>
          <w:iCs w:val="false"/>
          <w:color w:val="222222"/>
          <w:sz w:val="20"/>
          <w:szCs w:val="20"/>
        </w:rPr>
        <w:t>Co-developed naming for Predator Helios, Triton, Orion, Galea, Aethon, Cestus, and Bifrost, plus Acer Swift and Spin, carrying selected names through director approval and legal clearance.</w:t>
      </w:r>
    </w:p>
    <w:p>
      <w:pPr>
        <w:pStyle w:val="Normal"/>
        <w:pBdr>
          <w:bottom w:val="single" w:sz="8" w:space="3" w:color="1F3B5C"/>
        </w:pBdr>
        <w:spacing w:before="240" w:after="92"/>
        <w:rPr/>
      </w:pPr>
      <w:r>
        <w:rPr>
          <w:b/>
          <w:bCs/>
          <w:caps/>
          <w:color w:val="1F3B5C"/>
          <w:spacing w:val="22"/>
          <w:sz w:val="22"/>
          <w:szCs w:val="22"/>
        </w:rPr>
        <w:t>Education, Tools &amp; Development</w:t>
      </w:r>
    </w:p>
    <w:p>
      <w:pPr>
        <w:pStyle w:val="Normal"/>
        <w:spacing w:lineRule="auto" w:line="262" w:before="0" w:after="54"/>
        <w:rPr/>
      </w:pPr>
      <w:r>
        <w:rPr>
          <w:rFonts w:eastAsia="Calibri" w:cs="Calibri"/>
          <w:b/>
          <w:bCs/>
          <w:i w:val="false"/>
          <w:iCs w:val="false"/>
          <w:color w:val="222222"/>
          <w:sz w:val="20"/>
          <w:szCs w:val="20"/>
        </w:rPr>
        <w:t>Grand Valley State University</w:t>
      </w:r>
      <w:r>
        <w:rPr>
          <w:rFonts w:eastAsia="Calibri" w:cs="Calibri"/>
          <w:b w:val="false"/>
          <w:bCs w:val="false"/>
          <w:i w:val="false"/>
          <w:iCs w:val="false"/>
          <w:color w:val="5A5F66"/>
          <w:sz w:val="20"/>
          <w:szCs w:val="20"/>
        </w:rPr>
        <w:t xml:space="preserve">   |   B.A. History   |   2001 - 2005</w:t>
      </w:r>
    </w:p>
    <w:p>
      <w:pPr>
        <w:pStyle w:val="Normal"/>
        <w:spacing w:lineRule="auto" w:line="262" w:before="0" w:after="54"/>
        <w:rPr/>
      </w:pPr>
      <w:r>
        <w:rPr>
          <w:rFonts w:eastAsia="Calibri" w:cs="Calibri"/>
          <w:b/>
          <w:bCs/>
          <w:i w:val="false"/>
          <w:iCs w:val="false"/>
          <w:color w:val="1F3B5C"/>
          <w:sz w:val="20"/>
          <w:szCs w:val="20"/>
        </w:rPr>
        <w:t xml:space="preserve">Tools:  </w:t>
      </w:r>
      <w:r>
        <w:rPr>
          <w:rFonts w:eastAsia="Calibri" w:cs="Calibri"/>
          <w:b w:val="false"/>
          <w:bCs w:val="false"/>
          <w:i w:val="false"/>
          <w:iCs w:val="false"/>
          <w:color w:val="222222"/>
          <w:sz w:val="20"/>
          <w:szCs w:val="20"/>
        </w:rPr>
        <w:t>SEMrush | Microsoft 365 | Google Workspace | Global Website / CMS Workflows | Canva | ChatGPT | Claude | Codex / AI Coding Assistants | A+ / eTail Frameworks | Product Documentation</w:t>
      </w:r>
    </w:p>
    <w:p>
      <w:pPr>
        <w:pStyle w:val="Normal"/>
        <w:spacing w:lineRule="auto" w:line="262" w:before="0" w:after="40"/>
        <w:rPr/>
      </w:pPr>
      <w:r>
        <w:rPr>
          <w:rFonts w:eastAsia="Calibri" w:cs="Calibri"/>
          <w:b/>
          <w:bCs/>
          <w:i w:val="false"/>
          <w:iCs w:val="false"/>
          <w:color w:val="1F3B5C"/>
          <w:sz w:val="20"/>
          <w:szCs w:val="20"/>
        </w:rPr>
        <w:t xml:space="preserve">Development (in progress):  </w:t>
      </w:r>
      <w:r>
        <w:rPr>
          <w:rFonts w:eastAsia="Calibri" w:cs="Calibri"/>
          <w:b w:val="false"/>
          <w:bCs w:val="false"/>
          <w:i w:val="false"/>
          <w:iCs w:val="false"/>
          <w:color w:val="222222"/>
          <w:sz w:val="20"/>
          <w:szCs w:val="20"/>
        </w:rPr>
        <w:t>Google Analytics (GA4) and web-analytics fundamentals, plus Google Ads / search and growth and sentiment analytics concepts, to strengthen data-driven, ROI-aware brand decisions.</w:t>
      </w:r>
    </w:p>
    <w:sectPr>
      <w:type w:val="nextPage"/>
      <w:pgSz w:w="12240" w:h="15840"/>
      <w:pgMar w:left="860" w:right="860" w:gutter="0" w:header="0" w:top="620" w:footer="0" w:bottom="6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  <w:color w:val="1F3B5C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95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color w:val="2222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Calibri" w:hAnsi="Calibri" w:eastAsia="Calibri" w:cs="Calibri"/>
      <w:color w:val="222222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Calibri" w:hAnsi="Calibri" w:eastAsia="Calibri" w:cs="Calibri"/>
      <w:b/>
      <w:bCs/>
      <w:color w:val="222222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Calibri" w:hAnsi="Calibri" w:eastAsia="Calibri" w:cs="Calibri"/>
      <w:color w:val="222222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LibreOffice/26.2.5.2$Windows_X86_64 LibreOffice_project/cd7284b4cbbfeb507e630c1aac019f4157393acb</Application>
  <AppVersion>15.0000</AppVersion>
  <Pages>2</Pages>
  <Words>835</Words>
  <Characters>5277</Characters>
  <CharactersWithSpaces>6123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2026-08-18T15:21:03Z</dcterms:created>
  <dc:creator>Clark Gurden</dc:creator>
  <dc:description/>
  <dc:language>en-US</dc:language>
  <cp:lastModifiedBy>Un-named</cp:lastModifiedBy>
  <dcterms:modified xsi:type="dcterms:W3CDTF">2026-08-18T15:21:03Z</dcterms:modified>
  <cp:revision>1</cp:revision>
  <dc:subject/>
  <dc:title/>
</cp:coreProperties>
</file>