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"/>
        <w:jc w:val="center"/>
        <w:rPr/>
      </w:pPr>
      <w:r>
        <w:rPr>
          <w:b/>
          <w:bCs/>
          <w:color w:val="1F3B5C"/>
          <w:spacing w:val="40"/>
          <w:sz w:val="40"/>
          <w:szCs w:val="40"/>
        </w:rPr>
        <w:t>CLARK GURDEN</w:t>
      </w:r>
    </w:p>
    <w:p>
      <w:pPr>
        <w:pStyle w:val="Normal"/>
        <w:spacing w:before="0" w:after="58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A5F66"/>
          <w:sz w:val="18"/>
          <w:szCs w:val="18"/>
        </w:rPr>
        <w:t>Taipei, Taiwan   |   Native English   |   linkedin.com/in/clark-gurden   |   gurden.clark@gmail.com   |   +886 982-513-428</w:t>
      </w:r>
    </w:p>
    <w:p>
      <w:pPr>
        <w:pStyle w:val="Normal"/>
        <w:spacing w:before="0" w:after="18"/>
        <w:jc w:val="center"/>
        <w:rPr/>
      </w:pPr>
      <w:r>
        <w:rPr>
          <w:b/>
          <w:bCs/>
          <w:color w:val="222222"/>
          <w:spacing w:val="8"/>
          <w:sz w:val="17"/>
          <w:szCs w:val="17"/>
        </w:rPr>
        <w:t>PRODUCT &amp; BRAND MARKETING   |   GAMING HARDWARE, FURNITURE &amp; STREAMING GTM   |   TAIWAN-TO-GLOBAL</w:t>
      </w:r>
    </w:p>
    <w:p>
      <w:pPr>
        <w:pStyle w:val="Normal"/>
        <w:pBdr>
          <w:bottom w:val="single" w:sz="8" w:space="3" w:color="1F3B5C"/>
        </w:pBdr>
        <w:spacing w:before="240" w:after="92"/>
        <w:rPr/>
      </w:pPr>
      <w:r>
        <w:rPr>
          <w:b/>
          <w:bCs/>
          <w:caps/>
          <w:color w:val="1F3B5C"/>
          <w:spacing w:val="22"/>
          <w:sz w:val="22"/>
          <w:szCs w:val="22"/>
        </w:rPr>
        <w:t>Professional Summary</w:t>
      </w:r>
    </w:p>
    <w:p>
      <w:pPr>
        <w:pStyle w:val="Normal"/>
        <w:spacing w:lineRule="auto" w:line="262" w:before="0" w:after="40"/>
        <w:rPr/>
      </w:pPr>
      <w:r>
        <w:rPr>
          <w:b w:val="0"/>
          <w:sz w:val="20"/>
        </w:rPr>
        <w:t xml:space="preserve">Product and brand marketing specialist with </w:t>
      </w:r>
      <w:r>
        <w:rPr>
          <w:b/>
          <w:sz w:val="20"/>
        </w:rPr>
        <w:t>10+ years at Acer HQ</w:t>
      </w:r>
      <w:r>
        <w:rPr>
          <w:b w:val="0"/>
          <w:sz w:val="20"/>
        </w:rPr>
        <w:t xml:space="preserve"> building global English positioning, launch messaging, and content systems for assigned Predator and Acer Nitro gaming-hardware launches through July 2026. Serves as the bridge between Taiwan engineering and global consumer and gaming communities, translating technical specifications into premium, </w:t>
      </w:r>
      <w:r>
        <w:rPr>
          <w:b/>
          <w:sz w:val="20"/>
        </w:rPr>
        <w:t>enthusiast-tier</w:t>
      </w:r>
      <w:r>
        <w:rPr>
          <w:b w:val="0"/>
          <w:sz w:val="20"/>
        </w:rPr>
        <w:t xml:space="preserve"> brand stories across North America, Europe, and Asia. Supported brand consistency and launch execution across </w:t>
      </w:r>
      <w:r>
        <w:rPr>
          <w:b/>
          <w:sz w:val="20"/>
        </w:rPr>
        <w:t>20-30 assigned hardware launches annually</w:t>
      </w:r>
      <w:r>
        <w:rPr>
          <w:b w:val="0"/>
          <w:sz w:val="20"/>
        </w:rPr>
        <w:t>, spanning laptops, desktops, handhelds, monitors, peripherals, audio, connected devices, and gaming furniture (Predator Thronos), with deep craft in GTM strategy, product naming, and lifecycle content from pre-launch through refresh.</w:t>
      </w:r>
    </w:p>
    <w:p>
      <w:pPr>
        <w:pStyle w:val="Normal"/>
        <w:pBdr>
          <w:bottom w:val="single" w:sz="8" w:space="3" w:color="1F3B5C"/>
        </w:pBdr>
        <w:spacing w:before="240" w:after="92"/>
        <w:rPr/>
      </w:pPr>
      <w:r>
        <w:rPr>
          <w:b/>
          <w:bCs/>
          <w:caps/>
          <w:color w:val="1F3B5C"/>
          <w:spacing w:val="22"/>
          <w:sz w:val="22"/>
          <w:szCs w:val="22"/>
        </w:rPr>
        <w:t>Core Strengths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Global Brand Strategy &amp; Positioning: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Brand Identity &amp; Voice | Enthusiast-Tier / Premium Positioning | Competitive Benchmarking | Portfolio Differentiation | Product Naming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End-to-End Product Marketing (GTM):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Go-to-Market Strategy | Launch Positioning | KSP Architecture | Global Copymasters | Pre-Launch to Refresh Lifecycle | Regional Localization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Content &amp; Creative Development: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Global Product Pages | A+ / eTail | Product &amp; Promo Video Scripts | Visual Asset &amp; Photography Review | Product Documentation | Reviewer &amp; Press Materials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Retail, Channel &amp; Partner: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Sales Enablement | Partner / Tender Documentation | e-Commerce Content | Packaging | Technical Product Sheets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Data &amp; Discovery: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SEMrush | Web-Traffic &amp; Search Data | SEO / GEO | CMS Workflows | AI-Assisted Content Pipelines | QA Systems</w:t>
      </w:r>
    </w:p>
    <w:p>
      <w:pPr>
        <w:pStyle w:val="Normal"/>
        <w:spacing w:lineRule="auto" w:line="257" w:before="0" w:after="6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Cross-Functional Collaboration: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Product &amp; Engineering (Taiwan) | Business Stakeholders | Design | Web Operations | Legal | Sales | Regional Marketing | Agencies</w:t>
      </w:r>
    </w:p>
    <w:p>
      <w:pPr>
        <w:pStyle w:val="Normal"/>
        <w:pBdr>
          <w:bottom w:val="single" w:sz="8" w:space="3" w:color="1F3B5C"/>
        </w:pBdr>
        <w:spacing w:before="240" w:after="92"/>
        <w:rPr/>
      </w:pPr>
      <w:r>
        <w:rPr>
          <w:b/>
          <w:bCs/>
          <w:caps/>
          <w:color w:val="1F3B5C"/>
          <w:spacing w:val="22"/>
          <w:sz w:val="22"/>
          <w:szCs w:val="22"/>
        </w:rPr>
        <w:t>Professional Experience</w:t>
      </w:r>
    </w:p>
    <w:p>
      <w:pPr>
        <w:pStyle w:val="Normal"/>
        <w:spacing w:before="78" w:after="6"/>
        <w:rPr/>
      </w:pPr>
      <w:r>
        <w:rPr>
          <w:rFonts w:eastAsia="Calibri" w:cs="Calibri"/>
          <w:b/>
          <w:bCs/>
          <w:i w:val="false"/>
          <w:iCs w:val="false"/>
          <w:color w:val="222222"/>
          <w:sz w:val="22"/>
          <w:szCs w:val="22"/>
        </w:rPr>
        <w:t>Head Gaming Copywriter, Global Marketing &amp; Branding</w:t>
      </w:r>
      <w:r>
        <w:rPr>
          <w:rFonts w:eastAsia="Calibri" w:cs="Calibri"/>
          <w:b/>
          <w:bCs/>
          <w:i w:val="false"/>
          <w:iCs w:val="false"/>
          <w:color w:val="1F3B5C"/>
          <w:sz w:val="22"/>
          <w:szCs w:val="22"/>
        </w:rPr>
        <w:t xml:space="preserve">   |   Acer Inc.</w:t>
      </w:r>
    </w:p>
    <w:p>
      <w:pPr>
        <w:pStyle w:val="Normal"/>
        <w:spacing w:before="0" w:after="40"/>
        <w:rPr/>
      </w:pPr>
      <w:r>
        <w:rPr>
          <w:rFonts w:eastAsia="Calibri" w:cs="Calibri"/>
          <w:b w:val="false"/>
          <w:bCs w:val="false"/>
          <w:i/>
          <w:iCs/>
          <w:color w:val="5A5F66"/>
          <w:sz w:val="19"/>
          <w:szCs w:val="19"/>
        </w:rPr>
        <w:t>Taipei, Taiwan  |  Jun 2021 - Jul 2026   (Promoted from Gaming Brand Specialist / Creative Copywriter, Apr 2016 - Jun 2021)</w:t>
      </w:r>
    </w:p>
    <w:p>
      <w:pPr>
        <w:pStyle w:val="Normal"/>
        <w:spacing w:lineRule="auto" w:line="259" w:before="0" w:after="7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Global product and brand marketing role for Predator and Acer Nitro, connecting Taiwan engineering, brand strategy, web, retail, sales, and regional execution across international markets.</w:t>
      </w:r>
    </w:p>
    <w:p>
      <w:pPr>
        <w:pStyle w:val="ListParagraph"/>
        <w:numPr>
          <w:ilvl w:val="0"/>
          <w:numId w:val="3"/>
        </w:numPr>
        <w:spacing w:lineRule="auto" w:line="262" w:before="0" w:after="64"/>
        <w:ind w:hanging="216" w:start="288"/>
        <w:rPr/>
      </w:pPr>
      <w:r>
        <w:rPr>
          <w:b w:val="0"/>
          <w:sz w:val="20"/>
        </w:rPr>
        <w:t xml:space="preserve">Through July 2026, led global English messaging systems across </w:t>
      </w:r>
      <w:r>
        <w:rPr>
          <w:b/>
          <w:sz w:val="20"/>
        </w:rPr>
        <w:t>20-30 assigned hardware releases annually</w:t>
      </w:r>
      <w:r>
        <w:rPr>
          <w:b w:val="0"/>
          <w:sz w:val="20"/>
        </w:rPr>
        <w:t xml:space="preserve"> for Predator and Acer Nitro, translating approved claims into product-specific KSP hierarchies, copymasters, disclaimer and claims language, and technical-benefit framing.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Partnered directly with product and engineering teams at Taiwan HQ to translate technical specifications into clear consumer benefits, KSP hierarchies, global copymasters, product pages, packaging, and campaign and video scripts.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b w:val="0"/>
          <w:sz w:val="20"/>
        </w:rPr>
        <w:t>Held distinct Predator and Acer Nitro positioning across assigned launches: Helios foregrounded flagship performance, Triton balanced premium performance with portability and creation, and Acer Nitro used benefit-led language to remain approachable without implying compromise.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b w:val="0"/>
          <w:sz w:val="20"/>
        </w:rPr>
        <w:t>Developed product-specific copymasters and KSP hierarchies across assigned Helios, Triton, Helios Neo / Triton Neo, Predator Orion, Acer Nitro, and Acer Nitro V launches; contribution varied by product, with role and proof priorities adapted to each audience.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Produced </w:t>
      </w:r>
      <w:r>
        <w:rPr>
          <w:rFonts w:eastAsia="Calibri" w:cs="Calibri"/>
          <w:b/>
          <w:bCs/>
          <w:i w:val="false"/>
          <w:iCs w:val="false"/>
          <w:color w:val="222222"/>
          <w:sz w:val="20"/>
          <w:szCs w:val="20"/>
        </w:rPr>
        <w:t>80+ regional technical product sheets annually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plus sales, partner, tender, and eTail materials, turning dense specifications into commercially usable content for channel, retail, and regional teams.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Created the </w:t>
      </w:r>
      <w:r>
        <w:rPr>
          <w:rFonts w:eastAsia="Calibri" w:cs="Calibri"/>
          <w:b/>
          <w:bCs/>
          <w:i w:val="false"/>
          <w:iCs w:val="false"/>
          <w:color w:val="222222"/>
          <w:sz w:val="20"/>
          <w:szCs w:val="20"/>
        </w:rPr>
        <w:t>Predator Gaming Technology hub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end-to-end, from information architecture, navigation, and icon system to copy and recurring technology updates including AeroBlade, Graphene TIM, Predator Vox, MagKey, and CycloneX 360 cooling and audio features.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Created product summaries for Predator Atlas 8 and Acer Nitro Blaze Link, created the Predator Atlas 8 reviewer guide, and represented Acer as a keynote and product speaker for press, reviewers, and stakeholders.</w:t>
      </w:r>
    </w:p>
    <w:p>
      <w:pPr>
        <w:pStyle w:val="ListParagraph"/>
        <w:numPr>
          <w:ilvl w:val="0"/>
          <w:numId w:val="1"/>
        </w:numPr>
        <w:spacing w:lineRule="auto" w:line="262" w:before="0" w:after="64"/>
        <w:ind w:hanging="216" w:start="288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Used SEMrush and web-traffic and search data to shape keyword-aware page architecture, metadata, FAQs, and content structure for traditional search and AI-driven discovery.</w:t>
      </w:r>
    </w:p>
    <w:p>
      <w:pPr>
        <w:pStyle w:val="Normal"/>
        <w:pBdr>
          <w:bottom w:val="single" w:sz="8" w:space="3" w:color="1F3B5C"/>
        </w:pBdr>
        <w:spacing w:before="240" w:after="92"/>
        <w:rPr/>
      </w:pPr>
      <w:r>
        <w:rPr>
          <w:b/>
          <w:bCs/>
          <w:caps/>
          <w:color w:val="1F3B5C"/>
          <w:spacing w:val="22"/>
          <w:sz w:val="22"/>
          <w:szCs w:val="22"/>
        </w:rPr>
        <w:t>Selected Relevant Work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Predator Gaming Furniture (Thronos, Thronos Air + Gaming Chairs):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Owned global launch copy and KSP hierarchy for Predator's enthusiast gaming chair and cockpit lines, working from deep product-level knowledge of the hardware and restructuring page content against competitor benchmarks to sharpen the furniture story and hold premium positioning.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Acer Nitro Blaze Link (streaming-first handheld):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Owned product messaging for a streaming-oriented handheld, defining a differentiated story around extending an existing PC gaming and streaming setup rather than replacing it.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Predator Atlas 8 (Computex 2026):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Led the global English copymaster, product summary, reviewer guide, and KSP structure for Predator's new Windows handheld category, translating specifications and brand requirements into launch-ready positioning.</w:t>
      </w:r>
    </w:p>
    <w:p>
      <w:pPr>
        <w:pStyle w:val="Normal"/>
        <w:spacing w:lineRule="auto" w:line="262" w:before="0" w:after="74"/>
        <w:rPr/>
      </w:pPr>
      <w:r>
        <w:rPr>
          <w:b/>
          <w:sz w:val="20"/>
        </w:rPr>
        <w:t xml:space="preserve">Predator Helios 18 AI + Triton 14 AI:  </w:t>
      </w:r>
      <w:r>
        <w:rPr>
          <w:b w:val="0"/>
          <w:sz w:val="20"/>
        </w:rPr>
        <w:t>Built global English copymasters, product-specific KSP hierarchies, claims and disclaimer language, technical-benefit framing, and messaging review of implemented product-page content within assigned launch scope.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Gaming Peripherals, Audio &amp; Connected Devices: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Developed messaging across keyboards, mice, headsets and audio, accessories, and connected-device features, adapting technical benefits for enthusiast buyers, retail formats, and global product pages.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Predator Gaming Technology Hub: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Built the page concept and system start to finish, including navigation, modular layout, icon-led category structure, and recurring refreshes. The live hub remains a direct example of 0-to-1 web and content platform ownership.</w:t>
      </w:r>
    </w:p>
    <w:p>
      <w:pPr>
        <w:pStyle w:val="Normal"/>
        <w:spacing w:lineRule="auto" w:line="262" w:before="0" w:after="7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Product-Line Naming: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Co-developed naming for Predator Helios, Triton, Orion, Galea, Aethon, Cestus, and Bifrost, plus Acer Swift and Spin, carrying selected names through director approval and legal clearance.</w:t>
      </w:r>
    </w:p>
    <w:p>
      <w:pPr>
        <w:pStyle w:val="Normal"/>
        <w:pBdr>
          <w:bottom w:val="single" w:sz="8" w:space="3" w:color="1F3B5C"/>
        </w:pBdr>
        <w:spacing w:before="240" w:after="92"/>
        <w:rPr/>
      </w:pPr>
      <w:r>
        <w:rPr>
          <w:b/>
          <w:bCs/>
          <w:caps/>
          <w:color w:val="1F3B5C"/>
          <w:spacing w:val="22"/>
          <w:sz w:val="22"/>
          <w:szCs w:val="22"/>
        </w:rPr>
        <w:t>Education, Tools &amp; Development</w:t>
      </w:r>
    </w:p>
    <w:p>
      <w:pPr>
        <w:pStyle w:val="Normal"/>
        <w:spacing w:lineRule="auto" w:line="262" w:before="0" w:after="54"/>
        <w:rPr/>
      </w:pPr>
      <w:r>
        <w:rPr>
          <w:rFonts w:eastAsia="Calibri" w:cs="Calibri"/>
          <w:b/>
          <w:bCs/>
          <w:i w:val="false"/>
          <w:iCs w:val="false"/>
          <w:color w:val="222222"/>
          <w:sz w:val="20"/>
          <w:szCs w:val="20"/>
        </w:rPr>
        <w:t>Grand Valley State University</w:t>
      </w:r>
      <w:r>
        <w:rPr>
          <w:rFonts w:eastAsia="Calibri" w:cs="Calibri"/>
          <w:b w:val="false"/>
          <w:bCs w:val="false"/>
          <w:i w:val="false"/>
          <w:iCs w:val="false"/>
          <w:color w:val="5A5F66"/>
          <w:sz w:val="20"/>
          <w:szCs w:val="20"/>
        </w:rPr>
        <w:t xml:space="preserve">   |   B.A. History   |   2001 - 2005</w:t>
      </w:r>
    </w:p>
    <w:p>
      <w:pPr>
        <w:pStyle w:val="Normal"/>
        <w:spacing w:lineRule="auto" w:line="262" w:before="0" w:after="54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Tools: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SEMrush | Microsoft 365 | Google Workspace | Global Website / CMS Workflows | Canva | ChatGPT | Claude | Codex / AI Coding Assistants | A+ / eTail Frameworks | Product Documentation</w:t>
      </w:r>
    </w:p>
    <w:p>
      <w:pPr>
        <w:pStyle w:val="Normal"/>
        <w:spacing w:lineRule="auto" w:line="262" w:before="0" w:after="40"/>
        <w:rPr/>
      </w:pPr>
      <w:r>
        <w:rPr>
          <w:rFonts w:eastAsia="Calibri" w:cs="Calibri"/>
          <w:b/>
          <w:bCs/>
          <w:i w:val="false"/>
          <w:iCs w:val="false"/>
          <w:color w:val="1F3B5C"/>
          <w:sz w:val="20"/>
          <w:szCs w:val="20"/>
        </w:rPr>
        <w:t xml:space="preserve">Development (in progress):  </w:t>
      </w:r>
      <w:r>
        <w:rPr>
          <w:rFonts w:eastAsia="Calibri" w:cs="Calibri"/>
          <w:b w:val="false"/>
          <w:bCs w:val="false"/>
          <w:i w:val="false"/>
          <w:iCs w:val="false"/>
          <w:color w:val="222222"/>
          <w:sz w:val="20"/>
          <w:szCs w:val="20"/>
        </w:rPr>
        <w:t>Google Analytics (GA4) and web-analytics fundamentals, plus Google Ads / search and growth and sentiment analytics concepts, to strengthen data-driven, ROI-aware brand decisions.</w:t>
      </w:r>
    </w:p>
    <w:sectPr>
      <w:type w:val="nextPage"/>
      <w:pgSz w:w="12240" w:h="15840"/>
      <w:pgMar w:left="860" w:right="86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color w:val="1F3B5C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222222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835</Words>
  <Characters>5277</Characters>
  <CharactersWithSpaces>6123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2026-08-18T15:21:03Z</dcterms:created>
  <dc:creator>Clark Gurden</dc:creator>
  <dc:description/>
  <dc:language>en-US</dc:language>
  <cp:lastModifiedBy>Un-named</cp:lastModifiedBy>
  <dcterms:modified xsi:type="dcterms:W3CDTF">2026-08-18T15:21:03Z</dcterms:modified>
  <cp:revision>1</cp:revision>
  <dc:subject/>
  <dc:title/>
</cp:coreProperties>
</file>