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b/>
          <w:color w:val="19478A"/>
          <w:sz w:val="44"/>
        </w:rPr>
        <w:t>第二章 知识表示与知识图谱</w:t>
      </w:r>
    </w:p>
    <w:p>
      <w:pPr>
        <w:spacing w:after="360"/>
        <w:jc w:val="center"/>
      </w:pPr>
      <w:r>
        <w:rPr>
          <w:color w:val="5A5A5A"/>
          <w:sz w:val="23"/>
        </w:rPr>
        <w:t>适配 LangChain RecursiveCharacterTextSplitter 与 BGE-M3 的细粒度分块版</w:t>
      </w:r>
    </w:p>
    <w:tbl>
      <w:tblPr>
        <w:tblW w:type="auto" w:w="0"/>
        <w:jc w:val="center"/>
        <w:tblLayout w:type="fixed"/>
        <w:tblLook w:firstColumn="1" w:firstRow="1" w:lastColumn="0" w:lastRow="0" w:noHBand="0" w:noVBand="1" w:val="04A0"/>
      </w:tblPr>
      <w:tblGrid>
        <w:gridCol w:w="4816"/>
        <w:gridCol w:w="4816"/>
      </w:tblGrid>
      <w:tr>
        <w:tc>
          <w:tcPr>
            <w:tcW w:type="dxa" w:w="1814"/>
            <w:vAlign w:val="center"/>
            <w:tcMar>
              <w:top w:w="120" w:type="dxa"/>
              <w:start w:w="140" w:type="dxa"/>
              <w:bottom w:w="120" w:type="dxa"/>
              <w:end w:w="140" w:type="dxa"/>
            </w:tcMar>
            <w:shd w:fill="DCE6F1"/>
          </w:tcPr>
          <w:p>
            <w:r>
              <w:rPr>
                <w:rFonts w:ascii="Microsoft YaHei" w:hAnsi="Microsoft YaHei" w:eastAsia="Microsoft YaHei"/>
                <w:b/>
                <w:sz w:val="21"/>
              </w:rPr>
              <w:t>整理目标</w:t>
            </w:r>
          </w:p>
        </w:tc>
        <w:tc>
          <w:tcPr>
            <w:tcW w:type="dxa" w:w="5896"/>
            <w:vAlign w:val="center"/>
            <w:tcMar>
              <w:top w:w="120" w:type="dxa"/>
              <w:start w:w="140" w:type="dxa"/>
              <w:bottom w:w="120" w:type="dxa"/>
              <w:end w:w="140" w:type="dxa"/>
            </w:tcMar>
            <w:shd w:fill="F7FAFC"/>
          </w:tcPr>
          <w:p>
            <w:r>
              <w:rPr>
                <w:rFonts w:ascii="Microsoft YaHei" w:hAnsi="Microsoft YaHei" w:eastAsia="Microsoft YaHei"/>
                <w:sz w:val="21"/>
              </w:rPr>
              <w:t>将 PPT 内容整理为适合知识切分、向量化与检索增强生成的 Word 文档。</w:t>
            </w:r>
          </w:p>
        </w:tc>
      </w:tr>
      <w:tr>
        <w:tc>
          <w:tcPr>
            <w:tcW w:type="dxa" w:w="1814"/>
            <w:vAlign w:val="center"/>
            <w:tcMar>
              <w:top w:w="120" w:type="dxa"/>
              <w:start w:w="140" w:type="dxa"/>
              <w:bottom w:w="120" w:type="dxa"/>
              <w:end w:w="140" w:type="dxa"/>
            </w:tcMar>
            <w:shd w:fill="DCE6F1"/>
          </w:tcPr>
          <w:p>
            <w:r>
              <w:rPr>
                <w:rFonts w:ascii="Microsoft YaHei" w:hAnsi="Microsoft YaHei" w:eastAsia="Microsoft YaHei"/>
                <w:b/>
                <w:sz w:val="21"/>
              </w:rPr>
              <w:t>排版原则</w:t>
            </w:r>
          </w:p>
        </w:tc>
        <w:tc>
          <w:tcPr>
            <w:tcW w:type="dxa" w:w="5896"/>
            <w:vAlign w:val="center"/>
            <w:tcMar>
              <w:top w:w="120" w:type="dxa"/>
              <w:start w:w="140" w:type="dxa"/>
              <w:bottom w:w="120" w:type="dxa"/>
              <w:end w:w="140" w:type="dxa"/>
            </w:tcMar>
            <w:shd w:fill="F7FAFC"/>
          </w:tcPr>
          <w:p>
            <w:r>
              <w:rPr>
                <w:rFonts w:ascii="Microsoft YaHei" w:hAnsi="Microsoft YaHei" w:eastAsia="Microsoft YaHei"/>
                <w:sz w:val="21"/>
              </w:rPr>
              <w:t>按主题分块、单节单义、尽量用完整语义段，减少碎片化短句与复杂表格。</w:t>
            </w:r>
          </w:p>
        </w:tc>
      </w:tr>
    </w:tbl>
    <w:p/>
    <w:p>
      <w:pPr>
        <w:spacing w:after="200" w:line="324" w:lineRule="auto"/>
      </w:pPr>
      <w:r>
        <w:rPr>
          <w:b w:val="0"/>
          <w:color w:val="5A5A5A"/>
          <w:sz w:val="21"/>
        </w:rPr>
        <w:t>说明：本稿依据《第二章知识表示2025》整理，将一章内容拆分为更细粒度的知识块，以便后续按标题或段落进行切分与入库。</w:t>
      </w:r>
    </w:p>
    <w:p>
      <w:pPr>
        <w:pStyle w:val="Heading1"/>
        <w:spacing w:before="240" w:after="80"/>
      </w:pPr>
      <w:r>
        <w:rPr>
          <w:b/>
          <w:color w:val="19478A"/>
          <w:sz w:val="32"/>
        </w:rPr>
        <w:t>2.1 知识与智能</w:t>
      </w:r>
    </w:p>
    <w:p>
      <w:pPr>
        <w:pStyle w:val="Heading3"/>
        <w:spacing w:before="160" w:after="80"/>
      </w:pPr>
      <w:r>
        <w:rPr>
          <w:b/>
          <w:color w:val="373737"/>
          <w:sz w:val="23"/>
        </w:rPr>
        <w:t>2.1.1 知识在人类智能中的作用</w:t>
      </w:r>
    </w:p>
    <w:p>
      <w:pPr>
        <w:spacing w:after="80" w:line="324" w:lineRule="auto"/>
      </w:pPr>
      <w:r>
        <w:rPr>
          <w:b w:val="0"/>
          <w:sz w:val="21"/>
        </w:rPr>
        <w:t>课程首先从“知识与智能”的关系切入。根据雷蒙德·卡特尔的观点，人类表现出的思维能力可以分为流动智力与固定智力。流动智力强调理解、学习和解决新问题的基础能力；固定智力则与知识积累相关，主要表现为运用经验和已有知识解决问题的能力。这个区分说明，智能并不仅仅取决于瞬时推理能力，知识的长期积累同样是智能表现的重要来源。</w:t>
      </w:r>
    </w:p>
    <w:p>
      <w:pPr>
        <w:pStyle w:val="Heading3"/>
        <w:spacing w:before="160" w:after="80"/>
      </w:pPr>
      <w:r>
        <w:rPr>
          <w:b/>
          <w:color w:val="373737"/>
          <w:sz w:val="23"/>
        </w:rPr>
        <w:t>2.1.2 流动智力与固定智力的变化规律</w:t>
      </w:r>
    </w:p>
    <w:p>
      <w:pPr>
        <w:spacing w:after="80" w:line="324" w:lineRule="auto"/>
      </w:pPr>
      <w:r>
        <w:rPr>
          <w:b w:val="0"/>
          <w:sz w:val="21"/>
        </w:rPr>
        <w:t>流动智力通常在人到成年后开始下降，而固定智力会随着年龄增长和知识积累而不断增强。课程借助图示说明：人在成长过程中，推理与学习新问题的能力并非无限提升，但利用知识进行判断和决策的能力会持续增强。这一规律进一步强调，知识在人类长期智能表现中占据核心位置。</w:t>
      </w:r>
    </w:p>
    <w:p>
      <w:pPr>
        <w:pStyle w:val="Heading3"/>
        <w:spacing w:before="160" w:after="80"/>
      </w:pPr>
      <w:r>
        <w:rPr>
          <w:b/>
          <w:color w:val="373737"/>
          <w:sz w:val="23"/>
        </w:rPr>
        <w:t>2.1.3 基于知识的人工智能</w:t>
      </w:r>
    </w:p>
    <w:p>
      <w:pPr>
        <w:spacing w:after="80" w:line="324" w:lineRule="auto"/>
      </w:pPr>
      <w:r>
        <w:rPr>
          <w:b w:val="0"/>
          <w:sz w:val="21"/>
        </w:rPr>
        <w:t>如果把知识有效地告诉给机器，机器同样能够表现出“很聪明”的样子。课程通过“把国家图书馆的所有藏书都背熟的人是否会显得非常聪明”这一类比，说明知识储备能够显著增强智能表现。因此，基于知识的人工智能关注两个核心问题：第一，应该把什么样的知识教给机器；第二，应该如何把这些知识交给机器。知识表示正是解决第二个问题的关键。</w:t>
      </w:r>
    </w:p>
    <w:p>
      <w:pPr>
        <w:pStyle w:val="Heading1"/>
        <w:spacing w:before="240" w:after="80"/>
      </w:pPr>
      <w:r>
        <w:rPr>
          <w:b/>
          <w:color w:val="19478A"/>
          <w:sz w:val="32"/>
        </w:rPr>
        <w:t>2.2 知识的概述</w:t>
      </w:r>
    </w:p>
    <w:p>
      <w:pPr>
        <w:pStyle w:val="Heading3"/>
        <w:spacing w:before="160" w:after="80"/>
      </w:pPr>
      <w:r>
        <w:rPr>
          <w:b/>
          <w:color w:val="373737"/>
          <w:sz w:val="23"/>
        </w:rPr>
        <w:t>2.2.1 知识是智能的基础</w:t>
      </w:r>
    </w:p>
    <w:p>
      <w:pPr>
        <w:spacing w:after="80" w:line="324" w:lineRule="auto"/>
      </w:pPr>
      <w:r>
        <w:rPr>
          <w:b w:val="0"/>
          <w:sz w:val="21"/>
        </w:rPr>
        <w:t>人类的智能活动主要表现为获取知识并运用知识。为了让计算机具有智能并模拟人类的智能行为，就必须让它拥有某种形式的知识。在人工智能领域中，“知识就是力量”仍然成立。问题不在于知识是否重要，而在于如何把知识以适当形式表示出来，使其能够被计算机存储、检索和使用。</w:t>
      </w:r>
    </w:p>
    <w:p>
      <w:pPr>
        <w:pStyle w:val="Heading3"/>
        <w:spacing w:before="160" w:after="80"/>
      </w:pPr>
      <w:r>
        <w:rPr>
          <w:b/>
          <w:color w:val="373737"/>
          <w:sz w:val="23"/>
        </w:rPr>
        <w:t>2.2.2 知识的定义</w:t>
      </w:r>
    </w:p>
    <w:p>
      <w:pPr>
        <w:spacing w:after="80" w:line="324" w:lineRule="auto"/>
      </w:pPr>
      <w:r>
        <w:rPr>
          <w:b w:val="0"/>
          <w:sz w:val="21"/>
        </w:rPr>
        <w:t>课程指出，知识并没有统一而明确的唯一界定。费根鲍姆认为知识是经过裁剪、塑造、解释、选择和转换了的信息；伯恩斯坦认为知识由特定领域的描述、关系和过程组成；Heyes-Roth 则将知识概括为“事实 + 信念 + 启发式”。综合来看，知识可以理解为人类在长期生活实践、社会活动与科学实验中形成的，对客观世界及人类自身的认识、经验、事实描述与技能总结。</w:t>
      </w:r>
    </w:p>
    <w:p>
      <w:pPr>
        <w:pStyle w:val="Heading3"/>
        <w:spacing w:before="160" w:after="80"/>
      </w:pPr>
      <w:r>
        <w:rPr>
          <w:b/>
          <w:color w:val="373737"/>
          <w:sz w:val="23"/>
        </w:rPr>
        <w:t>2.2.3 知识的特性：相对正确性</w:t>
      </w:r>
    </w:p>
    <w:p>
      <w:pPr>
        <w:spacing w:after="80" w:line="324" w:lineRule="auto"/>
      </w:pPr>
      <w:r>
        <w:rPr>
          <w:b w:val="0"/>
          <w:sz w:val="21"/>
        </w:rPr>
        <w:t>知识并非在所有条件下都绝对正确，它往往依赖于特定前提和环境。例如，“水的沸点是 100℃”这一说法只在标准大气压下成立；如果气压变化，沸点也会随之变化。因此，知识具有相对正确性，即知识的有效性与适用条件密切相关。</w:t>
      </w:r>
    </w:p>
    <w:p>
      <w:pPr>
        <w:pStyle w:val="Heading3"/>
        <w:spacing w:before="160" w:after="80"/>
      </w:pPr>
      <w:r>
        <w:rPr>
          <w:b/>
          <w:color w:val="373737"/>
          <w:sz w:val="23"/>
        </w:rPr>
        <w:t>2.2.4 知识的特性：不确定性</w:t>
      </w:r>
    </w:p>
    <w:p>
      <w:pPr>
        <w:spacing w:after="80" w:line="324" w:lineRule="auto"/>
      </w:pPr>
      <w:r>
        <w:rPr>
          <w:b w:val="0"/>
          <w:sz w:val="21"/>
        </w:rPr>
        <w:t>很多知识不能被简单地判定为“真”或“假”，在两者之间还存在大量中间状态。例如，“眼睛发黄就得肝炎”并非绝对结论，更准确的说法应当是“有可能得肝炎”。此外，一些概念本身带有模糊性，例如“较高”“较长”等表述缺乏严格边界，也会导致知识存在不确定性。</w:t>
      </w:r>
    </w:p>
    <w:p>
      <w:pPr>
        <w:pStyle w:val="Heading3"/>
        <w:spacing w:before="160" w:after="80"/>
      </w:pPr>
      <w:r>
        <w:rPr>
          <w:b/>
          <w:color w:val="373737"/>
          <w:sz w:val="23"/>
        </w:rPr>
        <w:t>2.2.5 知识的分类：陈述性知识</w:t>
      </w:r>
    </w:p>
    <w:p>
      <w:pPr>
        <w:spacing w:after="80" w:line="324" w:lineRule="auto"/>
      </w:pPr>
      <w:r>
        <w:rPr>
          <w:b w:val="0"/>
          <w:sz w:val="21"/>
        </w:rPr>
        <w:t>按知识表达内容的不同，课程将适合计算机处理的知识分为陈述性知识和过程性知识两大类。陈述性知识描述对象、概念及其相互关系，也包括问题求解状态等信息，本质上回答“是什么”这一问题，因此又称事实性知识。它通常采用显式方式表示，具有相对静态的特征，例如“煤是黑色的”“北京是中国的首都”。</w:t>
      </w:r>
    </w:p>
    <w:p>
      <w:pPr>
        <w:pStyle w:val="Heading3"/>
        <w:spacing w:before="160" w:after="80"/>
      </w:pPr>
      <w:r>
        <w:rPr>
          <w:b/>
          <w:color w:val="373737"/>
          <w:sz w:val="23"/>
        </w:rPr>
        <w:t>2.2.6 知识的分类：过程性知识</w:t>
      </w:r>
    </w:p>
    <w:p>
      <w:pPr>
        <w:spacing w:after="80" w:line="324" w:lineRule="auto"/>
      </w:pPr>
      <w:r>
        <w:rPr>
          <w:b w:val="0"/>
          <w:sz w:val="21"/>
        </w:rPr>
        <w:t>过程性知识描述问题求解策略和执行过程，本质上回答“如何做”的问题。它通常通过算法、程序或求解步骤表达，常常隐含在程序内部，因此具有相对动态和隐式的特点。例如，矩阵求逆程序中既包含了求逆问题的知识，也包含了解决该问题的具体方法。</w:t>
      </w:r>
    </w:p>
    <w:p>
      <w:pPr>
        <w:pStyle w:val="Heading1"/>
        <w:spacing w:before="240" w:after="80"/>
      </w:pPr>
      <w:r>
        <w:rPr>
          <w:b/>
          <w:color w:val="19478A"/>
          <w:sz w:val="32"/>
        </w:rPr>
        <w:t>2.3 知识表示的方法</w:t>
      </w:r>
    </w:p>
    <w:p>
      <w:pPr>
        <w:pStyle w:val="Heading3"/>
        <w:spacing w:before="160" w:after="80"/>
      </w:pPr>
      <w:r>
        <w:rPr>
          <w:b/>
          <w:color w:val="373737"/>
          <w:sz w:val="23"/>
        </w:rPr>
        <w:t>2.3.1 知识表示的定义与目标</w:t>
      </w:r>
    </w:p>
    <w:p>
      <w:pPr>
        <w:spacing w:after="80" w:line="324" w:lineRule="auto"/>
      </w:pPr>
      <w:r>
        <w:rPr>
          <w:b w:val="0"/>
          <w:sz w:val="21"/>
        </w:rPr>
        <w:t>知识表示是将人类知识符号化并输入给计算机的过程与方法。它研究的是如何用计算机可处理的数据结构来表达知识，因此既涉及数据结构，也涉及控制结构。知识表示的根本目的，是解决人类知识在计算机中的表示、存储与使用问题。</w:t>
      </w:r>
    </w:p>
    <w:p>
      <w:pPr>
        <w:pStyle w:val="Heading3"/>
        <w:spacing w:before="160" w:after="80"/>
      </w:pPr>
      <w:r>
        <w:rPr>
          <w:b/>
          <w:color w:val="373737"/>
          <w:sz w:val="23"/>
        </w:rPr>
        <w:t>2.3.2 知识表示的总体分类</w:t>
      </w:r>
    </w:p>
    <w:p>
      <w:pPr>
        <w:spacing w:after="80" w:line="324" w:lineRule="auto"/>
      </w:pPr>
      <w:r>
        <w:rPr>
          <w:b w:val="0"/>
          <w:sz w:val="21"/>
        </w:rPr>
        <w:t>课程指出，知识表示方法与知识分类密切相关。若从知识运用角度出发，知识表示方法可以粗略划分为陈述式知识表示和过程式知识表示两大类。前者侧重静态描述“是什么”，后者侧重动态求解“怎么做”。</w:t>
      </w:r>
    </w:p>
    <w:p>
      <w:pPr>
        <w:pStyle w:val="Heading3"/>
        <w:spacing w:before="160" w:after="80"/>
      </w:pPr>
      <w:r>
        <w:rPr>
          <w:b/>
          <w:color w:val="373737"/>
          <w:sz w:val="23"/>
        </w:rPr>
        <w:t>2.3.3 陈述式知识表示</w:t>
      </w:r>
    </w:p>
    <w:p>
      <w:pPr>
        <w:spacing w:after="80" w:line="324" w:lineRule="auto"/>
      </w:pPr>
      <w:r>
        <w:rPr>
          <w:b w:val="0"/>
          <w:sz w:val="21"/>
        </w:rPr>
        <w:t>陈述式知识表示用于描述对象、属性和关系等静态知识，不直接描述具体求解过程。它强调对事物的显式表达，即先把知识写出来，再由推理机制决定如何使用这些知识。其优点是可理解性强、便于修改、易于扩充、具有较好的模块化特征；其缺点是知识表示与控制分离，求解时执行效率往往较低。</w:t>
      </w:r>
    </w:p>
    <w:p>
      <w:pPr>
        <w:pStyle w:val="Heading3"/>
        <w:spacing w:before="160" w:after="80"/>
      </w:pPr>
      <w:r>
        <w:rPr>
          <w:b/>
          <w:color w:val="373737"/>
          <w:sz w:val="23"/>
        </w:rPr>
        <w:t>2.3.4 过程式知识表示</w:t>
      </w:r>
    </w:p>
    <w:p>
      <w:pPr>
        <w:spacing w:after="80" w:line="324" w:lineRule="auto"/>
      </w:pPr>
      <w:r>
        <w:rPr>
          <w:b w:val="0"/>
          <w:sz w:val="21"/>
        </w:rPr>
        <w:t>过程式知识表示强调将知识和求解过程结合起来，直接把“如何求解问题”的步骤写入程序之中。它不仅描述客观规律，也描述控制规则和控制结构，因此知识与控制往往融为一体。其优点是执行效率高；但由于信息隐含在程序内部，可理解性较差，不易扩充，也不易局部修改。</w:t>
      </w:r>
    </w:p>
    <w:p>
      <w:pPr>
        <w:pStyle w:val="Heading1"/>
        <w:spacing w:before="240" w:after="80"/>
      </w:pPr>
      <w:r>
        <w:rPr>
          <w:b/>
          <w:color w:val="19478A"/>
          <w:sz w:val="32"/>
        </w:rPr>
        <w:t>2.4 产生式规则表示法</w:t>
      </w:r>
    </w:p>
    <w:p>
      <w:pPr>
        <w:pStyle w:val="Heading3"/>
        <w:spacing w:before="160" w:after="80"/>
      </w:pPr>
      <w:r>
        <w:rPr>
          <w:b/>
          <w:color w:val="373737"/>
          <w:sz w:val="23"/>
        </w:rPr>
        <w:t>2.4.1 产生式规则的基本概念</w:t>
      </w:r>
    </w:p>
    <w:p>
      <w:pPr>
        <w:spacing w:after="80" w:line="324" w:lineRule="auto"/>
      </w:pPr>
      <w:r>
        <w:rPr>
          <w:b w:val="0"/>
          <w:sz w:val="21"/>
        </w:rPr>
        <w:t>“产生式”是能够根据已知条件产生新知识的式子，通常以规则形式描述，因此也称“产生式规则”。产生式表示法属于符号主义知识表示方法，在 20 世纪 60 至 70 年代是主流方法之一，并在 DENDRAL、MYCIN、PROSPECTOR 等专家系统中得到广泛应用。</w:t>
      </w:r>
    </w:p>
    <w:p>
      <w:pPr>
        <w:pStyle w:val="Heading3"/>
        <w:spacing w:before="160" w:after="80"/>
      </w:pPr>
      <w:r>
        <w:rPr>
          <w:b/>
          <w:color w:val="373737"/>
          <w:sz w:val="23"/>
        </w:rPr>
        <w:t>2.4.2 事实的产生式表示：确定性事实</w:t>
      </w:r>
    </w:p>
    <w:p>
      <w:pPr>
        <w:spacing w:after="80" w:line="324" w:lineRule="auto"/>
      </w:pPr>
      <w:r>
        <w:rPr>
          <w:b w:val="0"/>
          <w:sz w:val="21"/>
        </w:rPr>
        <w:t>产生式不仅可以表示规则，也可以表示事实。确定性事实通常用三元组表示。如果描述对象的某种属性，则采用“(对象，属性，值)”的属性型事实形式，例如“（李丽，年龄，30）”；如果描述两个对象之间的关系，则采用“(对象1，对象2，关系)”的关系型事实形式，例如“（李丽，王军，朋友）”。</w:t>
      </w:r>
    </w:p>
    <w:p>
      <w:pPr>
        <w:pStyle w:val="Heading3"/>
        <w:spacing w:before="160" w:after="80"/>
      </w:pPr>
      <w:r>
        <w:rPr>
          <w:b/>
          <w:color w:val="373737"/>
          <w:sz w:val="23"/>
        </w:rPr>
        <w:t>2.4.3 事实的产生式表示：不确定性事实</w:t>
      </w:r>
    </w:p>
    <w:p>
      <w:pPr>
        <w:spacing w:after="80" w:line="324" w:lineRule="auto"/>
      </w:pPr>
      <w:r>
        <w:rPr>
          <w:b w:val="0"/>
          <w:sz w:val="21"/>
        </w:rPr>
        <w:t>当事实本身带有不确定性时，课程采用带置信度的四元组表示。不确定性事实中的最后一个值通常位于 0 到 1 之间，用于表示可信程度。例如，“李丽的年龄很可能是 30 岁”可以表示为“（李丽，年龄，30，0.85）”；“李丽和王军不太可能是朋友”可以表示为“（李丽，王军，朋友，0.15）”。</w:t>
      </w:r>
    </w:p>
    <w:p>
      <w:pPr>
        <w:pStyle w:val="Heading3"/>
        <w:spacing w:before="160" w:after="80"/>
      </w:pPr>
      <w:r>
        <w:rPr>
          <w:b/>
          <w:color w:val="373737"/>
          <w:sz w:val="23"/>
        </w:rPr>
        <w:t>2.4.4 规则的产生式表示：确定性规则</w:t>
      </w:r>
    </w:p>
    <w:p>
      <w:pPr>
        <w:spacing w:after="80" w:line="324" w:lineRule="auto"/>
      </w:pPr>
      <w:r>
        <w:rPr>
          <w:b w:val="0"/>
          <w:sz w:val="21"/>
        </w:rPr>
        <w:t>规则用于表示领域中事物之间的因果关系，其基本形式为 IF condition THEN action，或写作 condition → action。其中前件表示条件，后件表示结论或动作。例如，“如果下雨，则出门带伞”“小刚很聪明且学习勤奋，则成绩很好”都属于典型产生式规则。多个规则串联后还可以形成推理链。</w:t>
      </w:r>
    </w:p>
    <w:p>
      <w:pPr>
        <w:pStyle w:val="Heading3"/>
        <w:spacing w:before="160" w:after="80"/>
      </w:pPr>
      <w:r>
        <w:rPr>
          <w:b/>
          <w:color w:val="373737"/>
          <w:sz w:val="23"/>
        </w:rPr>
        <w:t>2.4.5 规则的产生式表示：不确定性规则</w:t>
      </w:r>
    </w:p>
    <w:p>
      <w:pPr>
        <w:spacing w:after="80" w:line="324" w:lineRule="auto"/>
      </w:pPr>
      <w:r>
        <w:rPr>
          <w:b w:val="0"/>
          <w:sz w:val="21"/>
        </w:rPr>
        <w:t>如果规则本身不是绝对成立，而是带有概率或可信度，就需要在规则后附加置信度，例如 IF condition THEN action（0.7）。课程中的例子是“发烧呕吐且出现黄疸 → 肝炎（0.7）”，这表示在满足前提时，结论“患肝炎”的可信度为 0.7，而不是必然成立。</w:t>
      </w:r>
    </w:p>
    <w:p>
      <w:pPr>
        <w:pStyle w:val="Heading3"/>
        <w:spacing w:before="160" w:after="80"/>
      </w:pPr>
      <w:r>
        <w:rPr>
          <w:b/>
          <w:color w:val="373737"/>
          <w:sz w:val="23"/>
        </w:rPr>
        <w:t>2.4.6 产生式系统的基本结构</w:t>
      </w:r>
    </w:p>
    <w:p>
      <w:pPr>
        <w:spacing w:after="80" w:line="324" w:lineRule="auto"/>
      </w:pPr>
      <w:r>
        <w:rPr>
          <w:b w:val="0"/>
          <w:sz w:val="21"/>
        </w:rPr>
        <w:t>一个完整的产生式系统由规则库、综合数据库和控制系统三部分构成。综合数据库又称事实库，用于存储初始事实、中间结果和最终结论；规则库用于存储与问题求解相关的全部产生式规则；控制系统也称推理机，负责解释规则、选择推理路径并驱动系统求解。综合数据库与规则库共同组成知识库。</w:t>
      </w:r>
    </w:p>
    <w:p>
      <w:pPr>
        <w:pStyle w:val="Heading3"/>
        <w:spacing w:before="160" w:after="80"/>
      </w:pPr>
      <w:r>
        <w:rPr>
          <w:b/>
          <w:color w:val="373737"/>
          <w:sz w:val="23"/>
        </w:rPr>
        <w:t>2.4.7 推理机的主要工作内容</w:t>
      </w:r>
    </w:p>
    <w:p>
      <w:pPr>
        <w:spacing w:after="80" w:line="324" w:lineRule="auto"/>
      </w:pPr>
      <w:r>
        <w:rPr>
          <w:b w:val="0"/>
          <w:sz w:val="21"/>
        </w:rPr>
        <w:t>推理机的核心任务包括四项：首先，从规则库中选择可与当前事实匹配的规则；其次，如果多个规则都可匹配，就按照一定策略进行冲突消解；然后执行推理并将新结果写回综合数据库；最后判断推理是否终止。可以把推理机理解为连接“已有事实”和“可用规则”的执行器。</w:t>
      </w:r>
    </w:p>
    <w:p>
      <w:pPr>
        <w:pStyle w:val="Heading3"/>
        <w:spacing w:before="160" w:after="80"/>
      </w:pPr>
      <w:r>
        <w:rPr>
          <w:b/>
          <w:color w:val="373737"/>
          <w:sz w:val="23"/>
        </w:rPr>
        <w:t>2.4.8 产生式表示法的应用示例：动物识别</w:t>
      </w:r>
    </w:p>
    <w:p>
      <w:pPr>
        <w:spacing w:after="80" w:line="324" w:lineRule="auto"/>
      </w:pPr>
      <w:r>
        <w:rPr>
          <w:b w:val="0"/>
          <w:sz w:val="21"/>
        </w:rPr>
        <w:t>课程使用动物识别系统展示产生式推理过程。初始事实包括“有奶”“有蹄”“有长脖子”“有长腿”“有暗斑”等。系统首先根据“有奶”推出“是哺乳动物”，再根据“哺乳动物且有蹄”推出“是有蹄类动物”，最后根据“有蹄类动物且有长脖子、有长腿、身上有暗斑点”推出“该动物是长颈鹿”。该例子说明了规则链式推理的基本过程。</w:t>
      </w:r>
    </w:p>
    <w:p>
      <w:pPr>
        <w:pStyle w:val="Heading3"/>
        <w:spacing w:before="160" w:after="80"/>
      </w:pPr>
      <w:r>
        <w:rPr>
          <w:b/>
          <w:color w:val="373737"/>
          <w:sz w:val="23"/>
        </w:rPr>
        <w:t>2.4.9 产生式表示法的优缺点</w:t>
      </w:r>
    </w:p>
    <w:p>
      <w:pPr>
        <w:spacing w:after="80" w:line="324" w:lineRule="auto"/>
      </w:pPr>
      <w:r>
        <w:rPr>
          <w:b w:val="0"/>
          <w:sz w:val="21"/>
        </w:rPr>
        <w:t>产生式表示法的优点主要在于格式统一、计算简单、模块性强、形式自然，便于理解和解释，因此非常适合专家系统和规则推理场景。其缺点则包括求解效率不高，以及难以表达具有复杂结构关系的知识，这也是后来知识图谱等方法进一步发展的原因之一。</w:t>
      </w:r>
    </w:p>
    <w:p>
      <w:pPr>
        <w:pStyle w:val="Heading1"/>
        <w:spacing w:before="240" w:after="80"/>
      </w:pPr>
      <w:r>
        <w:rPr>
          <w:b/>
          <w:color w:val="19478A"/>
          <w:sz w:val="32"/>
        </w:rPr>
        <w:t>2.5 状态空间表示法</w:t>
      </w:r>
    </w:p>
    <w:p>
      <w:pPr>
        <w:pStyle w:val="Heading3"/>
        <w:spacing w:before="160" w:after="80"/>
      </w:pPr>
      <w:r>
        <w:rPr>
          <w:b/>
          <w:color w:val="373737"/>
          <w:sz w:val="23"/>
        </w:rPr>
        <w:t>2.5.1 状态空间表示法的基本思想</w:t>
      </w:r>
    </w:p>
    <w:p>
      <w:pPr>
        <w:spacing w:after="80" w:line="324" w:lineRule="auto"/>
      </w:pPr>
      <w:r>
        <w:rPr>
          <w:b w:val="0"/>
          <w:sz w:val="21"/>
        </w:rPr>
        <w:t>状态空间表示法是人工智能中最基本的形式化方法之一，也是许多问题求解技术的起点。所谓状态，是描述问题求解过程中某一时刻系统情况的一组变量或数组；操作则表示引起状态变化的过程性知识。通过定义状态和操作，就能把问题建模为“从初始状态出发，经若干操作到达目标状态”的过程。</w:t>
      </w:r>
    </w:p>
    <w:p>
      <w:pPr>
        <w:pStyle w:val="Heading3"/>
        <w:spacing w:before="160" w:after="80"/>
      </w:pPr>
      <w:r>
        <w:rPr>
          <w:b/>
          <w:color w:val="373737"/>
          <w:sz w:val="23"/>
        </w:rPr>
        <w:t>2.5.2 状态的定义与表示</w:t>
      </w:r>
    </w:p>
    <w:p>
      <w:pPr>
        <w:spacing w:after="80" w:line="324" w:lineRule="auto"/>
      </w:pPr>
      <w:r>
        <w:rPr>
          <w:b w:val="0"/>
          <w:sz w:val="21"/>
        </w:rPr>
        <w:t>课程将状态表示为有序集合 Q={q0, q1, q2, …, qn}，其中每个 qi 都是一个状态变量。具体应用中，状态可以用符号、字符串、多维数组、树、图等不同数据结构表示。例如，在围棋棋盘表示中，可以用 19×19 的二维数组描述棋盘局面，其中 0 表示空位、1 表示黑子、2 表示白子。</w:t>
      </w:r>
    </w:p>
    <w:p>
      <w:pPr>
        <w:pStyle w:val="Heading3"/>
        <w:spacing w:before="160" w:after="80"/>
      </w:pPr>
      <w:r>
        <w:rPr>
          <w:b/>
          <w:color w:val="373737"/>
          <w:sz w:val="23"/>
        </w:rPr>
        <w:t>2.5.3 操作与状态变换</w:t>
      </w:r>
    </w:p>
    <w:p>
      <w:pPr>
        <w:spacing w:after="80" w:line="324" w:lineRule="auto"/>
      </w:pPr>
      <w:r>
        <w:rPr>
          <w:b w:val="0"/>
          <w:sz w:val="21"/>
        </w:rPr>
        <w:t>操作也称运算或操作符，用来表示从一个状态转移到另一个状态的过程。它可以是动作、规则、过程或者数学算子。状态空间本质上就是由状态变量和操作符号共同构成的、描述问题全部可能状态及其相互关系的符号体系。</w:t>
      </w:r>
    </w:p>
    <w:p>
      <w:pPr>
        <w:pStyle w:val="Heading3"/>
        <w:spacing w:before="160" w:after="80"/>
      </w:pPr>
      <w:r>
        <w:rPr>
          <w:b/>
          <w:color w:val="373737"/>
          <w:sz w:val="23"/>
        </w:rPr>
        <w:t>2.5.4 状态空间的四元组表示</w:t>
      </w:r>
    </w:p>
    <w:p>
      <w:pPr>
        <w:spacing w:after="80" w:line="324" w:lineRule="auto"/>
      </w:pPr>
      <w:r>
        <w:rPr>
          <w:b w:val="0"/>
          <w:sz w:val="21"/>
        </w:rPr>
        <w:t>课程用四元组（S, O, S0, G）来描述问题状态空间。其中 S 是全部可能状态的集合，O 是操作符集合，S0 是初始状态集合，G 是目标状态集合。求解问题时，系统从初始状态出发，不断应用允许的操作，在满足约束条件下到达目标状态。</w:t>
      </w:r>
    </w:p>
    <w:p>
      <w:pPr>
        <w:pStyle w:val="Heading3"/>
        <w:spacing w:before="160" w:after="80"/>
      </w:pPr>
      <w:r>
        <w:rPr>
          <w:b/>
          <w:color w:val="373737"/>
          <w:sz w:val="23"/>
        </w:rPr>
        <w:t>2.5.5 用有向图理解状态空间</w:t>
      </w:r>
    </w:p>
    <w:p>
      <w:pPr>
        <w:spacing w:after="80" w:line="324" w:lineRule="auto"/>
      </w:pPr>
      <w:r>
        <w:rPr>
          <w:b w:val="0"/>
          <w:sz w:val="21"/>
        </w:rPr>
        <w:t>状态空间通常用有向图表示：图中的结点对应状态，边对应状态变换操作，边上还可附加代价。问题的解可能是一个目标状态，也可能是一条从初始状态到目标状态的路径。在很多问题中，真正需要寻找的并不是“有没有解”，而是“代价最小、长度最短或最优”的那条求解路径。</w:t>
      </w:r>
    </w:p>
    <w:p>
      <w:pPr>
        <w:pStyle w:val="Heading3"/>
        <w:spacing w:before="160" w:after="80"/>
      </w:pPr>
      <w:r>
        <w:rPr>
          <w:b/>
          <w:color w:val="373737"/>
          <w:sz w:val="23"/>
        </w:rPr>
        <w:t>2.5.6 例子：八数码问题</w:t>
      </w:r>
    </w:p>
    <w:p>
      <w:pPr>
        <w:spacing w:after="80" w:line="324" w:lineRule="auto"/>
      </w:pPr>
      <w:r>
        <w:rPr>
          <w:b w:val="0"/>
          <w:sz w:val="21"/>
        </w:rPr>
        <w:t>八数码问题又称重排九宫问题。每一种棋盘摆法都可以看作一个状态，所有摆法构成状态空间。操作集合由空格的上下左右移动构成，因此问题的解就是把棋盘从初始状态变换到目标状态的一系列移动步骤。课程强调，八数码问题的解通常并不唯一，因此还可以进一步添加“步数最少”等优化约束。</w:t>
      </w:r>
    </w:p>
    <w:p>
      <w:pPr>
        <w:pStyle w:val="Heading3"/>
        <w:spacing w:before="160" w:after="80"/>
      </w:pPr>
      <w:r>
        <w:rPr>
          <w:b/>
          <w:color w:val="373737"/>
          <w:sz w:val="23"/>
        </w:rPr>
        <w:t>2.5.7 例子：旅行商问题</w:t>
      </w:r>
    </w:p>
    <w:p>
      <w:pPr>
        <w:spacing w:after="80" w:line="324" w:lineRule="auto"/>
      </w:pPr>
      <w:r>
        <w:rPr>
          <w:b w:val="0"/>
          <w:sz w:val="21"/>
        </w:rPr>
        <w:t>旅行商问题要求从某一城市出发，访问所有城市后返回出发地，并使总路径长度或总费用最小。其本质是在带权完全图中寻找权值最小的哈密尔顿回路。课程通过部分状态空间图说明，这类问题虽然也可以用状态空间建模，但状态数量增长极快，规模稍大时就无法完整画出全部状态空间。</w:t>
      </w:r>
    </w:p>
    <w:p>
      <w:pPr>
        <w:pStyle w:val="Heading3"/>
        <w:spacing w:before="160" w:after="80"/>
      </w:pPr>
      <w:r>
        <w:rPr>
          <w:b/>
          <w:color w:val="373737"/>
          <w:sz w:val="23"/>
        </w:rPr>
        <w:t>2.5.8 状态空间表示法的适用性</w:t>
      </w:r>
    </w:p>
    <w:p>
      <w:pPr>
        <w:spacing w:after="80" w:line="324" w:lineRule="auto"/>
      </w:pPr>
      <w:r>
        <w:rPr>
          <w:b w:val="0"/>
          <w:sz w:val="21"/>
        </w:rPr>
        <w:t>对于简单问题，可以直接画出完整的状态空间图；但对于旅行商问题等大规模复杂问题，完整状态空间往往无法显式展开。此时，建模重点就从“画完整图”转为“清晰定义状态与状态变换方式”。只要状态、操作、初始条件和目标条件定义准确，问题依旧可以用状态空间思想来描述。</w:t>
      </w:r>
    </w:p>
    <w:p>
      <w:pPr>
        <w:pStyle w:val="Heading1"/>
        <w:spacing w:before="240" w:after="80"/>
      </w:pPr>
      <w:r>
        <w:rPr>
          <w:b/>
          <w:color w:val="19478A"/>
          <w:sz w:val="32"/>
        </w:rPr>
        <w:t>2.6 知识图谱</w:t>
      </w:r>
    </w:p>
    <w:p>
      <w:pPr>
        <w:pStyle w:val="Heading3"/>
        <w:spacing w:before="160" w:after="80"/>
      </w:pPr>
      <w:r>
        <w:rPr>
          <w:b/>
          <w:color w:val="373737"/>
          <w:sz w:val="23"/>
        </w:rPr>
        <w:t>2.6.1 知识图谱的来源与定位</w:t>
      </w:r>
    </w:p>
    <w:p>
      <w:pPr>
        <w:spacing w:after="80" w:line="324" w:lineRule="auto"/>
      </w:pPr>
      <w:r>
        <w:rPr>
          <w:b w:val="0"/>
          <w:sz w:val="21"/>
        </w:rPr>
        <w:t>课程将知识图谱视为符号主义知识表示方法在互联网时代的演化结果。知识图谱是一种用图结构描述知识及其关联关系的技术方法，目标是建立大规模知识资源，以满足语义检索、智能问答和知识服务等需求。谷歌于 2012 年正式提出“Knowledge Graph”这一名称，初衷是提升搜索引擎能力与用户搜索体验。</w:t>
      </w:r>
    </w:p>
    <w:p>
      <w:pPr>
        <w:pStyle w:val="Heading3"/>
        <w:spacing w:before="160" w:after="80"/>
      </w:pPr>
      <w:r>
        <w:rPr>
          <w:b/>
          <w:color w:val="373737"/>
          <w:sz w:val="23"/>
        </w:rPr>
        <w:t>2.6.2 知识图谱的定义</w:t>
      </w:r>
    </w:p>
    <w:p>
      <w:pPr>
        <w:spacing w:after="80" w:line="324" w:lineRule="auto"/>
      </w:pPr>
      <w:r>
        <w:rPr>
          <w:b w:val="0"/>
          <w:sz w:val="21"/>
        </w:rPr>
        <w:t>知识图谱本质上是一种揭示客观世界中实体、概念及其关系的大规模语义网络，也可以理解为一种图结构的语义知识库。其基本组成单位包括实体、属性和关系。图中的结点可以表示实体、概念或属性值，边用来表示属性或关系，边的方向表示关系方向，边上的标签则表示具体属性名称或关系类型。</w:t>
      </w:r>
    </w:p>
    <w:p>
      <w:pPr>
        <w:pStyle w:val="Heading3"/>
        <w:spacing w:before="160" w:after="80"/>
      </w:pPr>
      <w:r>
        <w:rPr>
          <w:b/>
          <w:color w:val="373737"/>
          <w:sz w:val="23"/>
        </w:rPr>
        <w:t>2.6.3 知识图谱的基本元素：概念</w:t>
      </w:r>
    </w:p>
    <w:p>
      <w:pPr>
        <w:spacing w:after="80" w:line="324" w:lineRule="auto"/>
      </w:pPr>
      <w:r>
        <w:rPr>
          <w:b w:val="0"/>
          <w:sz w:val="21"/>
        </w:rPr>
        <w:t>概念也称类别、类型或类，是具有相同性质对象构成的集合。例如，在大学领域中，“教师”“学生”“课程”都是概念；在体育领域中，“运动员”“裁判”“奖项”也是概念。概念用于表示事物类型、集合和分类层次，是知识图谱组织结构的基础。</w:t>
      </w:r>
    </w:p>
    <w:p>
      <w:pPr>
        <w:pStyle w:val="Heading3"/>
        <w:spacing w:before="160" w:after="80"/>
      </w:pPr>
      <w:r>
        <w:rPr>
          <w:b/>
          <w:color w:val="373737"/>
          <w:sz w:val="23"/>
        </w:rPr>
        <w:t>2.6.4 知识图谱的基本元素：实体</w:t>
      </w:r>
    </w:p>
    <w:p>
      <w:pPr>
        <w:spacing w:after="80" w:line="324" w:lineRule="auto"/>
      </w:pPr>
      <w:r>
        <w:rPr>
          <w:b w:val="0"/>
          <w:sz w:val="21"/>
        </w:rPr>
        <w:t>实体是知识图谱中最基本、最具体的元素，也可称为实例或对象。实体是概念的具体成员，如“C罗”是“足球运动员”这一概念的实例，“金球奖”是“奖项”这一概念的实例。相比抽象概念，实体通常对应现实世界中可唯一识别的对象。</w:t>
      </w:r>
    </w:p>
    <w:p>
      <w:pPr>
        <w:pStyle w:val="Heading3"/>
        <w:spacing w:before="160" w:after="80"/>
      </w:pPr>
      <w:r>
        <w:rPr>
          <w:b/>
          <w:color w:val="373737"/>
          <w:sz w:val="23"/>
        </w:rPr>
        <w:t>2.6.5 知识图谱的基本元素：属性</w:t>
      </w:r>
    </w:p>
    <w:p>
      <w:pPr>
        <w:spacing w:after="80" w:line="324" w:lineRule="auto"/>
      </w:pPr>
      <w:r>
        <w:rPr>
          <w:b w:val="0"/>
          <w:sz w:val="21"/>
        </w:rPr>
        <w:t>属性用于描述实体或概念的特征与性质。属性值既可能是一个具体实体，也可能是一个字符串或数值。例如，运动员的“国籍”属性值是具体国家实体，“性别”可以是字符串，而“身高”则是数值。属性使知识图谱不仅能表示“谁和谁有关”，也能表示“对象本身具有什么特征”。</w:t>
      </w:r>
    </w:p>
    <w:p>
      <w:pPr>
        <w:pStyle w:val="Heading3"/>
        <w:spacing w:before="160" w:after="80"/>
      </w:pPr>
      <w:r>
        <w:rPr>
          <w:b/>
          <w:color w:val="373737"/>
          <w:sz w:val="23"/>
        </w:rPr>
        <w:t>2.6.6 知识图谱的基本元素：关系</w:t>
      </w:r>
    </w:p>
    <w:p>
      <w:pPr>
        <w:spacing w:after="80" w:line="324" w:lineRule="auto"/>
      </w:pPr>
      <w:r>
        <w:rPr>
          <w:b w:val="0"/>
          <w:sz w:val="21"/>
        </w:rPr>
        <w:t>关系表示概念之间、实体之间或概念与实体之间的联系。例如，“运动员”与“足球运动员”之间存在父类与子类关系，“中国”与“北京”之间存在首都关系，“国家”与“中国”之间存在实例化关系。知识图谱中的丰富关系类型，使其能够表达更复杂的语义结构。</w:t>
      </w:r>
    </w:p>
    <w:p>
      <w:pPr>
        <w:pStyle w:val="Heading3"/>
        <w:spacing w:before="160" w:after="80"/>
      </w:pPr>
      <w:r>
        <w:rPr>
          <w:b/>
          <w:color w:val="373737"/>
          <w:sz w:val="23"/>
        </w:rPr>
        <w:t>2.6.7 知识图谱的表示方式</w:t>
      </w:r>
    </w:p>
    <w:p>
      <w:pPr>
        <w:spacing w:after="80" w:line="324" w:lineRule="auto"/>
      </w:pPr>
      <w:r>
        <w:rPr>
          <w:b w:val="0"/>
          <w:sz w:val="21"/>
        </w:rPr>
        <w:t>在典型知识图谱中，每个实体或概念都应有全局唯一标识符。概念和实体通过属性刻画其内在特征，概念之间常见 subclassOf、partOf 等层次关系，实体之间则存在 capital、provincial_capital 等多种具体联系。课程指出，知识图谱的一种通用表示方式是三元组，它可以表示属性型联系“（实体，属性，属性值）”，也可以表示关系型联系“（实体1，关系，实体2）”。</w:t>
      </w:r>
    </w:p>
    <w:p>
      <w:pPr>
        <w:pStyle w:val="Heading3"/>
        <w:spacing w:before="160" w:after="80"/>
      </w:pPr>
      <w:r>
        <w:rPr>
          <w:b/>
          <w:color w:val="373737"/>
          <w:sz w:val="23"/>
        </w:rPr>
        <w:t>2.6.8 知识图谱发展史：语义网络阶段</w:t>
      </w:r>
    </w:p>
    <w:p>
      <w:pPr>
        <w:spacing w:after="80" w:line="324" w:lineRule="auto"/>
      </w:pPr>
      <w:r>
        <w:rPr>
          <w:b w:val="0"/>
          <w:sz w:val="21"/>
        </w:rPr>
        <w:t>知识图谱的发展可以追溯到 20 世纪 60 年代的语义网络。语义网络使用有向图表示知识，其中结点表示概念，弧表示概念间的语义关系。它的优点是形式直观、便于展示和聚类；缺点是缺少统一标准，难以区分概念结点与实体结点，难以融合多源数据，也不便于知识共享。</w:t>
      </w:r>
    </w:p>
    <w:p>
      <w:pPr>
        <w:pStyle w:val="Heading3"/>
        <w:spacing w:before="160" w:after="80"/>
      </w:pPr>
      <w:r>
        <w:rPr>
          <w:b/>
          <w:color w:val="373737"/>
          <w:sz w:val="23"/>
        </w:rPr>
        <w:t>2.6.9 知识图谱发展史：本体阶段</w:t>
      </w:r>
    </w:p>
    <w:p>
      <w:pPr>
        <w:spacing w:after="80" w:line="324" w:lineRule="auto"/>
      </w:pPr>
      <w:r>
        <w:rPr>
          <w:b w:val="0"/>
          <w:sz w:val="21"/>
        </w:rPr>
        <w:t>20 世纪 80 年代，哲学中的“本体”概念被引入人工智能，用来显式定义某一领域中的概念、关系和公理。本体知识表示强调“形式化的、共享概念体系的明确说明”，希望借助严谨的概念结构支持自动推理。CYC 和 WordNet 等项目就是这一时期的重要代表。</w:t>
      </w:r>
    </w:p>
    <w:p>
      <w:pPr>
        <w:pStyle w:val="Heading3"/>
        <w:spacing w:before="160" w:after="80"/>
      </w:pPr>
      <w:r>
        <w:rPr>
          <w:b/>
          <w:color w:val="373737"/>
          <w:sz w:val="23"/>
        </w:rPr>
        <w:t>2.6.10 知识图谱发展史：语义 Web、RDF 与 OWL</w:t>
      </w:r>
    </w:p>
    <w:p>
      <w:pPr>
        <w:spacing w:after="80" w:line="324" w:lineRule="auto"/>
      </w:pPr>
      <w:r>
        <w:rPr>
          <w:b w:val="0"/>
          <w:sz w:val="21"/>
        </w:rPr>
        <w:t>1998 年以后，Tim Berners-Lee 提出了语义 Web 构想，希望让 Web 内容可被计算机理解和处理。在这一背景下，研究者提出了 RDF、RDF Schema 和 OWL 等知识表示框架。RDF 使用主语-谓词-宾语三元组描述资源关系；RDF Schema 在 RDF 基础上补充了类和属性层次；OWL 则进一步增强表达能力和推理能力，但工程实现复杂度也显著提高。</w:t>
      </w:r>
    </w:p>
    <w:p>
      <w:pPr>
        <w:pStyle w:val="Heading3"/>
        <w:spacing w:before="160" w:after="80"/>
      </w:pPr>
      <w:r>
        <w:rPr>
          <w:b/>
          <w:color w:val="373737"/>
          <w:sz w:val="23"/>
        </w:rPr>
        <w:t>2.6.11 知识图谱发展史：链接数据与弱语义</w:t>
      </w:r>
    </w:p>
    <w:p>
      <w:pPr>
        <w:spacing w:after="80" w:line="324" w:lineRule="auto"/>
      </w:pPr>
      <w:r>
        <w:rPr>
          <w:b w:val="0"/>
          <w:sz w:val="21"/>
        </w:rPr>
        <w:t>2006 年以后，随着语义 Web 工程成本变高，Lee 提出了链接数据（Linked Data）的设想，鼓励不同单位共享并互联自己的知识库。这一阶段在技术上弱化了复杂语义推理，更强调 Web 层面的互联互通，因此常被视为从“强语义”向“弱语义”过渡的关键阶段。</w:t>
      </w:r>
    </w:p>
    <w:p>
      <w:pPr>
        <w:pStyle w:val="Heading3"/>
        <w:spacing w:before="160" w:after="80"/>
      </w:pPr>
      <w:r>
        <w:rPr>
          <w:b/>
          <w:color w:val="373737"/>
          <w:sz w:val="23"/>
        </w:rPr>
        <w:t>2.6.12 现代知识图谱的提出</w:t>
      </w:r>
    </w:p>
    <w:p>
      <w:pPr>
        <w:spacing w:after="80" w:line="324" w:lineRule="auto"/>
      </w:pPr>
      <w:r>
        <w:rPr>
          <w:b w:val="0"/>
          <w:sz w:val="21"/>
        </w:rPr>
        <w:t>2012 年 5 月 17 日，Google 正式提出知识图谱项目。课程强调，现代知识图谱进一步弱化了复杂语义，仅保留 RDF 三元组等较简单而实用的表示方式，从而更适合工程落地和自动化构建。知识图谱自此成为互联网搜索、问答和智能服务的重要基础设施。</w:t>
      </w:r>
    </w:p>
    <w:p>
      <w:pPr>
        <w:pStyle w:val="Heading3"/>
        <w:spacing w:before="160" w:after="80"/>
      </w:pPr>
      <w:r>
        <w:rPr>
          <w:b/>
          <w:color w:val="373737"/>
          <w:sz w:val="23"/>
        </w:rPr>
        <w:t>2.6.13 典型知识图谱与知识库</w:t>
      </w:r>
    </w:p>
    <w:p>
      <w:pPr>
        <w:spacing w:after="80" w:line="324" w:lineRule="auto"/>
      </w:pPr>
      <w:r>
        <w:rPr>
          <w:b w:val="0"/>
          <w:sz w:val="21"/>
        </w:rPr>
        <w:t>课程列举了多个代表项目，包括 OpenCyc、WordNet、ConceptNet、HowNet、Freebase、DBpedia、YAGO、BabelNet、百度百科以及 NELL、Knowledge Vault 等。整体来看，早期知识库更偏向“强语义、人工构建”，现代知识图谱则更偏向“弱语义、大规模、自动构建”。</w:t>
      </w:r>
    </w:p>
    <w:p>
      <w:pPr>
        <w:pStyle w:val="Heading3"/>
        <w:spacing w:before="160" w:after="80"/>
      </w:pPr>
      <w:r>
        <w:rPr>
          <w:b/>
          <w:color w:val="373737"/>
          <w:sz w:val="23"/>
        </w:rPr>
        <w:t>2.6.14 典型项目一：CYC</w:t>
      </w:r>
    </w:p>
    <w:p>
      <w:pPr>
        <w:spacing w:after="80" w:line="324" w:lineRule="auto"/>
      </w:pPr>
      <w:r>
        <w:rPr>
          <w:b w:val="0"/>
          <w:sz w:val="21"/>
        </w:rPr>
        <w:t>CYC 是 1984 年启动的早期常识知识库项目，目标是构建大规模常识库，并用一阶谓词逻辑存储知识。它的优势在于推理能力强，但缺点是构建成本高、更新慢、知识维护高度依赖人工，因此很难扩展到互联网规模。</w:t>
      </w:r>
    </w:p>
    <w:p>
      <w:pPr>
        <w:pStyle w:val="Heading3"/>
        <w:spacing w:before="160" w:after="80"/>
      </w:pPr>
      <w:r>
        <w:rPr>
          <w:b/>
          <w:color w:val="373737"/>
          <w:sz w:val="23"/>
        </w:rPr>
        <w:t>2.6.15 典型项目二：WordNet</w:t>
      </w:r>
    </w:p>
    <w:p>
      <w:pPr>
        <w:spacing w:after="80" w:line="324" w:lineRule="auto"/>
      </w:pPr>
      <w:r>
        <w:rPr>
          <w:b w:val="0"/>
          <w:sz w:val="21"/>
        </w:rPr>
        <w:t>WordNet 是 1985 年由普林斯顿大学主持构建的词典知识库。它的基本单位不是单独的词，而是同义词集合 Synset，从而更适合处理多义词和近义词问题。不过，WordNet 更关注词义组织本身，对语境中的世界知识关联考虑较少，因此存在著名的“tennis problem”等局限。</w:t>
      </w:r>
    </w:p>
    <w:p>
      <w:pPr>
        <w:pStyle w:val="Heading3"/>
        <w:spacing w:before="160" w:after="80"/>
      </w:pPr>
      <w:r>
        <w:rPr>
          <w:b/>
          <w:color w:val="373737"/>
          <w:sz w:val="23"/>
        </w:rPr>
        <w:t>2.6.16 典型项目三：ConceptNet 与 HowNet</w:t>
      </w:r>
    </w:p>
    <w:p>
      <w:pPr>
        <w:spacing w:after="80" w:line="324" w:lineRule="auto"/>
      </w:pPr>
      <w:r>
        <w:rPr>
          <w:b w:val="0"/>
          <w:sz w:val="21"/>
        </w:rPr>
        <w:t>ConceptNet 强调从文本中发现概念之间的关系，采用众包与文本抽取结合的方式构建，是典型的“弱语义”常识知识库。HowNet 则是中文知识系统的重要代表，强调用“义元”这一最小语义单位来标注和解释词语及概念。两者都体现了知识库从人工设计走向半自动或自动构建的趋势。</w:t>
      </w:r>
    </w:p>
    <w:p>
      <w:pPr>
        <w:pStyle w:val="Heading3"/>
        <w:spacing w:before="160" w:after="80"/>
      </w:pPr>
      <w:r>
        <w:rPr>
          <w:b/>
          <w:color w:val="373737"/>
          <w:sz w:val="23"/>
        </w:rPr>
        <w:t>2.6.17 基于百科构建的大规模知识图谱</w:t>
      </w:r>
    </w:p>
    <w:p>
      <w:pPr>
        <w:spacing w:after="80" w:line="324" w:lineRule="auto"/>
      </w:pPr>
      <w:r>
        <w:rPr>
          <w:b w:val="0"/>
          <w:sz w:val="21"/>
        </w:rPr>
        <w:t>随着在线百科网站兴起，Wikipedia 等高密度、结构统一的知识源为大规模知识图谱自动构建提供了基础。Freebase、Wikidata、DBpedia、YAGO、BabelNet 等系统都在不同程度上利用维基百科、WordNet 和其他开放资源进行知识融合，推动了现代知识图谱规模化发展。</w:t>
      </w:r>
    </w:p>
    <w:p>
      <w:pPr>
        <w:pStyle w:val="Heading3"/>
        <w:spacing w:before="160" w:after="80"/>
      </w:pPr>
      <w:r>
        <w:rPr>
          <w:b/>
          <w:color w:val="373737"/>
          <w:sz w:val="23"/>
        </w:rPr>
        <w:t>2.6.18 知识图谱的应用：语义搜索</w:t>
      </w:r>
    </w:p>
    <w:p>
      <w:pPr>
        <w:spacing w:after="80" w:line="324" w:lineRule="auto"/>
      </w:pPr>
      <w:r>
        <w:rPr>
          <w:b w:val="0"/>
          <w:sz w:val="21"/>
        </w:rPr>
        <w:t>知识图谱最初的重要目标之一，就是增强搜索引擎的返回结果。与传统关键词搜索不同，语义搜索希望理解用户检索词背后的语义和意图，从而更精确地给出结果。课程在第 77 至 78 页用 Google 和百度搜索页示例说明，知识图谱可以直接生成“知识卡片”，并展示与检索目标相关的关键实体信息与关联知识。</w:t>
      </w:r>
    </w:p>
    <w:p>
      <w:pPr>
        <w:pStyle w:val="Heading3"/>
        <w:spacing w:before="160" w:after="80"/>
      </w:pPr>
      <w:r>
        <w:rPr>
          <w:b/>
          <w:color w:val="373737"/>
          <w:sz w:val="23"/>
        </w:rPr>
        <w:t>2.6.19 知识图谱的应用：知识问答</w:t>
      </w:r>
    </w:p>
    <w:p>
      <w:pPr>
        <w:spacing w:after="80" w:line="324" w:lineRule="auto"/>
      </w:pPr>
      <w:r>
        <w:rPr>
          <w:b w:val="0"/>
          <w:sz w:val="21"/>
        </w:rPr>
        <w:t>问答系统希望直接返回精准答案，而不是一组相关文档。课程指出，知识问答通常包括两个核心步骤：首先对提问进行语义分析，抽取出意图并转化为可执行查询；然后将查询与知识图谱中的三元组进行匹配、检索或推理，得到答案。相比传统检索模式，这种方法更适合面向用户的精准信息服务。</w:t>
      </w:r>
    </w:p>
    <w:p>
      <w:pPr>
        <w:pStyle w:val="Heading3"/>
        <w:spacing w:before="160" w:after="80"/>
      </w:pPr>
      <w:r>
        <w:rPr>
          <w:b/>
          <w:color w:val="373737"/>
          <w:sz w:val="23"/>
        </w:rPr>
        <w:t>2.6.20 中文知识图谱的发展</w:t>
      </w:r>
    </w:p>
    <w:p>
      <w:pPr>
        <w:spacing w:after="80" w:line="324" w:lineRule="auto"/>
      </w:pPr>
      <w:r>
        <w:rPr>
          <w:b w:val="0"/>
          <w:sz w:val="21"/>
        </w:rPr>
        <w:t>在中文领域，OpenKG.cn 推动了中文知识图谱数据、算法、工具和平台的开放协作。近些年，以中文为主语言的知识图谱多基于百度百科和维基百科的结构化信息构建，如“大词林”“zhishi.me”“XLore”“CN-pedia”等项目。这些系统体现了中文知识图谱从资源建设走向生态建设的发展趋势。</w:t>
      </w:r>
    </w:p>
    <w:p>
      <w:pPr>
        <w:pStyle w:val="Heading1"/>
        <w:spacing w:before="240" w:after="80"/>
      </w:pPr>
      <w:r>
        <w:rPr>
          <w:b/>
          <w:color w:val="19478A"/>
          <w:sz w:val="32"/>
        </w:rPr>
        <w:t>2.7 本章小结</w:t>
      </w:r>
    </w:p>
    <w:p>
      <w:pPr>
        <w:pStyle w:val="Heading3"/>
        <w:spacing w:before="160" w:after="80"/>
      </w:pPr>
      <w:r>
        <w:rPr>
          <w:b/>
          <w:color w:val="373737"/>
          <w:sz w:val="23"/>
        </w:rPr>
        <w:t>2.7.1 总结</w:t>
      </w:r>
    </w:p>
    <w:p>
      <w:pPr>
        <w:spacing w:after="80" w:line="324" w:lineRule="auto"/>
      </w:pPr>
      <w:r>
        <w:rPr>
          <w:b w:val="0"/>
          <w:sz w:val="21"/>
        </w:rPr>
        <w:t>本章围绕“知识如何被机器表示并用于推理”展开，先介绍了知识与智能的关系、知识的定义、特性与分类，再介绍陈述式与过程式知识表示方法，重点讲解了产生式规则表示法和状态空间表示法，最后延伸到现代知识图谱的定义、表示方式、发展历史与典型应用。对后续学习而言，本章的关键主线是：知识是智能的基础，而知识表示则是把这种基础转化为可计算、可检索、可推理结构的核心技术。</w:t>
      </w:r>
    </w:p>
    <w:p>
      <w:pPr>
        <w:pStyle w:val="Heading1"/>
        <w:keepNext/>
      </w:pPr>
      <w:r>
        <w:t>附录：建议入库粒度与元数据字段</w:t>
      </w:r>
    </w:p>
    <w:p>
      <w:pPr>
        <w:pStyle w:val="BodyText"/>
      </w:pPr>
      <w:r>
        <w:t>下表给出将本章文本进一步入库时的推荐元数据字段。</w:t>
      </w:r>
    </w:p>
    <w:tbl>
      <w:tblPr>
        <w:tblStyle w:val="TableGrid"/>
        <w:tblW w:type="auto" w:w="0"/>
        <w:tblLayout w:type="fixed"/>
        <w:tblLook w:firstColumn="1" w:firstRow="1" w:lastColumn="0" w:lastRow="0" w:noHBand="0" w:noVBand="1" w:val="04A0"/>
      </w:tblPr>
      <w:tblGrid>
        <w:gridCol w:w="1814"/>
        <w:gridCol w:w="3515"/>
        <w:gridCol w:w="3969"/>
      </w:tblGrid>
      <w:tr>
        <w:tc>
          <w:tcPr>
            <w:tcW w:type="dxa" w:w="3211"/>
            <w:tcMar>
              <w:top w:w="90" w:type="dxa"/>
              <w:bottom w:w="90" w:type="dxa"/>
              <w:left w:w="120" w:type="dxa"/>
              <w:right w:w="120" w:type="dxa"/>
            </w:tcMar>
            <w:shd w:fill="D9EAF7"/>
          </w:tcPr>
          <w:p>
            <w:pPr>
              <w:spacing w:before="40" w:after="40"/>
              <w:jc w:val="center"/>
            </w:pPr>
            <w:r>
              <w:rPr>
                <w:rFonts w:ascii="Microsoft YaHei" w:hAnsi="Microsoft YaHei" w:eastAsia="Microsoft YaHei"/>
                <w:b/>
                <w:sz w:val="20"/>
              </w:rPr>
              <w:t>字段</w:t>
            </w:r>
          </w:p>
        </w:tc>
        <w:tc>
          <w:tcPr>
            <w:tcW w:type="dxa" w:w="3211"/>
            <w:tcMar>
              <w:top w:w="90" w:type="dxa"/>
              <w:bottom w:w="90" w:type="dxa"/>
              <w:left w:w="120" w:type="dxa"/>
              <w:right w:w="120" w:type="dxa"/>
            </w:tcMar>
            <w:shd w:fill="D9EAF7"/>
          </w:tcPr>
          <w:p>
            <w:pPr>
              <w:spacing w:before="40" w:after="40"/>
              <w:jc w:val="left"/>
            </w:pPr>
            <w:r>
              <w:rPr>
                <w:rFonts w:ascii="Microsoft YaHei" w:hAnsi="Microsoft YaHei" w:eastAsia="Microsoft YaHei"/>
                <w:b/>
                <w:sz w:val="20"/>
              </w:rPr>
              <w:t>示例</w:t>
            </w:r>
          </w:p>
        </w:tc>
        <w:tc>
          <w:tcPr>
            <w:tcW w:type="dxa" w:w="3211"/>
            <w:tcMar>
              <w:top w:w="90" w:type="dxa"/>
              <w:bottom w:w="90" w:type="dxa"/>
              <w:left w:w="120" w:type="dxa"/>
              <w:right w:w="120" w:type="dxa"/>
            </w:tcMar>
            <w:shd w:fill="D9EAF7"/>
          </w:tcPr>
          <w:p>
            <w:pPr>
              <w:spacing w:before="40" w:after="40"/>
              <w:jc w:val="left"/>
            </w:pPr>
            <w:r>
              <w:rPr>
                <w:rFonts w:ascii="Microsoft YaHei" w:hAnsi="Microsoft YaHei" w:eastAsia="Microsoft YaHei"/>
                <w:b/>
                <w:sz w:val="20"/>
              </w:rPr>
              <w:t>用途</w:t>
            </w:r>
          </w:p>
        </w:tc>
      </w:tr>
      <w:tr>
        <w:tc>
          <w:tcPr>
            <w:tcW w:type="dxa" w:w="3211"/>
            <w:tcMar>
              <w:top w:w="90" w:type="dxa"/>
              <w:bottom w:w="90" w:type="dxa"/>
              <w:left w:w="120" w:type="dxa"/>
              <w:right w:w="120" w:type="dxa"/>
            </w:tcMar>
          </w:tcPr>
          <w:p>
            <w:pPr>
              <w:spacing w:before="40" w:after="40"/>
              <w:jc w:val="center"/>
            </w:pPr>
            <w:r>
              <w:rPr>
                <w:rFonts w:ascii="Microsoft YaHei" w:hAnsi="Microsoft YaHei" w:eastAsia="Microsoft YaHei"/>
                <w:sz w:val="20"/>
              </w:rPr>
              <w:t>chapter</w:t>
            </w:r>
          </w:p>
        </w:tc>
        <w:tc>
          <w:tcPr>
            <w:tcW w:type="dxa" w:w="3211"/>
            <w:tcMar>
              <w:top w:w="90" w:type="dxa"/>
              <w:bottom w:w="90" w:type="dxa"/>
              <w:left w:w="120" w:type="dxa"/>
              <w:right w:w="120" w:type="dxa"/>
            </w:tcMar>
          </w:tcPr>
          <w:p>
            <w:pPr>
              <w:spacing w:before="40" w:after="40"/>
              <w:jc w:val="left"/>
            </w:pPr>
            <w:r>
              <w:rPr>
                <w:rFonts w:ascii="Microsoft YaHei" w:hAnsi="Microsoft YaHei" w:eastAsia="Microsoft YaHei"/>
                <w:sz w:val="20"/>
              </w:rPr>
              <w:t>第二章 知识表示与知识图谱</w:t>
            </w:r>
          </w:p>
        </w:tc>
        <w:tc>
          <w:tcPr>
            <w:tcW w:type="dxa" w:w="3211"/>
            <w:tcMar>
              <w:top w:w="90" w:type="dxa"/>
              <w:bottom w:w="90" w:type="dxa"/>
              <w:left w:w="120" w:type="dxa"/>
              <w:right w:w="120" w:type="dxa"/>
            </w:tcMar>
          </w:tcPr>
          <w:p>
            <w:pPr>
              <w:spacing w:before="40" w:after="40"/>
              <w:jc w:val="left"/>
            </w:pPr>
            <w:r>
              <w:rPr>
                <w:rFonts w:ascii="Microsoft YaHei" w:hAnsi="Microsoft YaHei" w:eastAsia="Microsoft YaHei"/>
                <w:sz w:val="20"/>
              </w:rPr>
              <w:t>标记所属章节</w:t>
            </w:r>
          </w:p>
        </w:tc>
      </w:tr>
      <w:tr>
        <w:tc>
          <w:tcPr>
            <w:tcW w:type="dxa" w:w="3211"/>
            <w:tcMar>
              <w:top w:w="90" w:type="dxa"/>
              <w:bottom w:w="90" w:type="dxa"/>
              <w:left w:w="120" w:type="dxa"/>
              <w:right w:w="120" w:type="dxa"/>
            </w:tcMar>
          </w:tcPr>
          <w:p>
            <w:pPr>
              <w:spacing w:before="40" w:after="40"/>
              <w:jc w:val="center"/>
            </w:pPr>
            <w:r>
              <w:rPr>
                <w:rFonts w:ascii="Microsoft YaHei" w:hAnsi="Microsoft YaHei" w:eastAsia="Microsoft YaHei"/>
                <w:sz w:val="20"/>
              </w:rPr>
              <w:t>section</w:t>
            </w:r>
          </w:p>
        </w:tc>
        <w:tc>
          <w:tcPr>
            <w:tcW w:type="dxa" w:w="3211"/>
            <w:tcMar>
              <w:top w:w="90" w:type="dxa"/>
              <w:bottom w:w="90" w:type="dxa"/>
              <w:left w:w="120" w:type="dxa"/>
              <w:right w:w="120" w:type="dxa"/>
            </w:tcMar>
          </w:tcPr>
          <w:p>
            <w:pPr>
              <w:spacing w:before="40" w:after="40"/>
              <w:jc w:val="left"/>
            </w:pPr>
            <w:r>
              <w:rPr>
                <w:rFonts w:ascii="Microsoft YaHei" w:hAnsi="Microsoft YaHei" w:eastAsia="Microsoft YaHei"/>
                <w:sz w:val="20"/>
              </w:rPr>
              <w:t>2.4 产生式规则表示法</w:t>
            </w:r>
          </w:p>
        </w:tc>
        <w:tc>
          <w:tcPr>
            <w:tcW w:type="dxa" w:w="3211"/>
            <w:tcMar>
              <w:top w:w="90" w:type="dxa"/>
              <w:bottom w:w="90" w:type="dxa"/>
              <w:left w:w="120" w:type="dxa"/>
              <w:right w:w="120" w:type="dxa"/>
            </w:tcMar>
          </w:tcPr>
          <w:p>
            <w:pPr>
              <w:spacing w:before="40" w:after="40"/>
              <w:jc w:val="left"/>
            </w:pPr>
            <w:r>
              <w:rPr>
                <w:rFonts w:ascii="Microsoft YaHei" w:hAnsi="Microsoft YaHei" w:eastAsia="Microsoft YaHei"/>
                <w:sz w:val="20"/>
              </w:rPr>
              <w:t>标记大主题</w:t>
            </w:r>
          </w:p>
        </w:tc>
      </w:tr>
      <w:tr>
        <w:tc>
          <w:tcPr>
            <w:tcW w:type="dxa" w:w="3211"/>
            <w:tcMar>
              <w:top w:w="90" w:type="dxa"/>
              <w:bottom w:w="90" w:type="dxa"/>
              <w:left w:w="120" w:type="dxa"/>
              <w:right w:w="120" w:type="dxa"/>
            </w:tcMar>
          </w:tcPr>
          <w:p>
            <w:pPr>
              <w:spacing w:before="40" w:after="40"/>
              <w:jc w:val="center"/>
            </w:pPr>
            <w:r>
              <w:rPr>
                <w:rFonts w:ascii="Microsoft YaHei" w:hAnsi="Microsoft YaHei" w:eastAsia="Microsoft YaHei"/>
                <w:sz w:val="20"/>
              </w:rPr>
              <w:t>subsection</w:t>
            </w:r>
          </w:p>
        </w:tc>
        <w:tc>
          <w:tcPr>
            <w:tcW w:type="dxa" w:w="3211"/>
            <w:tcMar>
              <w:top w:w="90" w:type="dxa"/>
              <w:bottom w:w="90" w:type="dxa"/>
              <w:left w:w="120" w:type="dxa"/>
              <w:right w:w="120" w:type="dxa"/>
            </w:tcMar>
          </w:tcPr>
          <w:p>
            <w:pPr>
              <w:spacing w:before="40" w:after="40"/>
              <w:jc w:val="left"/>
            </w:pPr>
            <w:r>
              <w:rPr>
                <w:rFonts w:ascii="Microsoft YaHei" w:hAnsi="Microsoft YaHei" w:eastAsia="Microsoft YaHei"/>
                <w:sz w:val="20"/>
              </w:rPr>
              <w:t>2.4.3 规则推理流程</w:t>
            </w:r>
          </w:p>
        </w:tc>
        <w:tc>
          <w:tcPr>
            <w:tcW w:type="dxa" w:w="3211"/>
            <w:tcMar>
              <w:top w:w="90" w:type="dxa"/>
              <w:bottom w:w="90" w:type="dxa"/>
              <w:left w:w="120" w:type="dxa"/>
              <w:right w:w="120" w:type="dxa"/>
            </w:tcMar>
          </w:tcPr>
          <w:p>
            <w:pPr>
              <w:spacing w:before="40" w:after="40"/>
              <w:jc w:val="left"/>
            </w:pPr>
            <w:r>
              <w:rPr>
                <w:rFonts w:ascii="Microsoft YaHei" w:hAnsi="Microsoft YaHei" w:eastAsia="Microsoft YaHei"/>
                <w:sz w:val="20"/>
              </w:rPr>
              <w:t>标记更细粒度知识点</w:t>
            </w:r>
          </w:p>
        </w:tc>
      </w:tr>
      <w:tr>
        <w:tc>
          <w:tcPr>
            <w:tcW w:type="dxa" w:w="3211"/>
            <w:tcMar>
              <w:top w:w="90" w:type="dxa"/>
              <w:bottom w:w="90" w:type="dxa"/>
              <w:left w:w="120" w:type="dxa"/>
              <w:right w:w="120" w:type="dxa"/>
            </w:tcMar>
          </w:tcPr>
          <w:p>
            <w:pPr>
              <w:spacing w:before="40" w:after="40"/>
              <w:jc w:val="center"/>
            </w:pPr>
            <w:r>
              <w:rPr>
                <w:rFonts w:ascii="Microsoft YaHei" w:hAnsi="Microsoft YaHei" w:eastAsia="Microsoft YaHei"/>
                <w:sz w:val="20"/>
              </w:rPr>
              <w:t>keywords</w:t>
            </w:r>
          </w:p>
        </w:tc>
        <w:tc>
          <w:tcPr>
            <w:tcW w:type="dxa" w:w="3211"/>
            <w:tcMar>
              <w:top w:w="90" w:type="dxa"/>
              <w:bottom w:w="90" w:type="dxa"/>
              <w:left w:w="120" w:type="dxa"/>
              <w:right w:w="120" w:type="dxa"/>
            </w:tcMar>
          </w:tcPr>
          <w:p>
            <w:pPr>
              <w:spacing w:before="40" w:after="40"/>
              <w:jc w:val="left"/>
            </w:pPr>
            <w:r>
              <w:rPr>
                <w:rFonts w:ascii="Microsoft YaHei" w:hAnsi="Microsoft YaHei" w:eastAsia="Microsoft YaHei"/>
                <w:sz w:val="20"/>
              </w:rPr>
              <w:t>知识表示、产生式规则、状态空间、知识图谱、三元组</w:t>
            </w:r>
          </w:p>
        </w:tc>
        <w:tc>
          <w:tcPr>
            <w:tcW w:type="dxa" w:w="3211"/>
            <w:tcMar>
              <w:top w:w="90" w:type="dxa"/>
              <w:bottom w:w="90" w:type="dxa"/>
              <w:left w:w="120" w:type="dxa"/>
              <w:right w:w="120" w:type="dxa"/>
            </w:tcMar>
          </w:tcPr>
          <w:p>
            <w:pPr>
              <w:spacing w:before="40" w:after="40"/>
              <w:jc w:val="left"/>
            </w:pPr>
            <w:r>
              <w:rPr>
                <w:rFonts w:ascii="Microsoft YaHei" w:hAnsi="Microsoft YaHei" w:eastAsia="Microsoft YaHei"/>
                <w:sz w:val="20"/>
              </w:rPr>
              <w:t>便于关键词召回与检索增强</w:t>
            </w:r>
          </w:p>
        </w:tc>
      </w:tr>
      <w:tr>
        <w:tc>
          <w:tcPr>
            <w:tcW w:type="dxa" w:w="3211"/>
            <w:tcMar>
              <w:top w:w="90" w:type="dxa"/>
              <w:bottom w:w="90" w:type="dxa"/>
              <w:left w:w="120" w:type="dxa"/>
              <w:right w:w="120" w:type="dxa"/>
            </w:tcMar>
          </w:tcPr>
          <w:p>
            <w:pPr>
              <w:spacing w:before="40" w:after="40"/>
              <w:jc w:val="center"/>
            </w:pPr>
            <w:r>
              <w:rPr>
                <w:rFonts w:ascii="Microsoft YaHei" w:hAnsi="Microsoft YaHei" w:eastAsia="Microsoft YaHei"/>
                <w:sz w:val="20"/>
              </w:rPr>
              <w:t>source</w:t>
            </w:r>
          </w:p>
        </w:tc>
        <w:tc>
          <w:tcPr>
            <w:tcW w:type="dxa" w:w="3211"/>
            <w:tcMar>
              <w:top w:w="90" w:type="dxa"/>
              <w:bottom w:w="90" w:type="dxa"/>
              <w:left w:w="120" w:type="dxa"/>
              <w:right w:w="120" w:type="dxa"/>
            </w:tcMar>
          </w:tcPr>
          <w:p>
            <w:pPr>
              <w:spacing w:before="40" w:after="40"/>
              <w:jc w:val="left"/>
            </w:pPr>
            <w:r>
              <w:rPr>
                <w:rFonts w:ascii="Microsoft YaHei" w:hAnsi="Microsoft YaHei" w:eastAsia="Microsoft YaHei"/>
                <w:sz w:val="20"/>
              </w:rPr>
              <w:t>第二章知识表示2025.pdf</w:t>
            </w:r>
          </w:p>
        </w:tc>
        <w:tc>
          <w:tcPr>
            <w:tcW w:type="dxa" w:w="3211"/>
            <w:tcMar>
              <w:top w:w="90" w:type="dxa"/>
              <w:bottom w:w="90" w:type="dxa"/>
              <w:left w:w="120" w:type="dxa"/>
              <w:right w:w="120" w:type="dxa"/>
            </w:tcMar>
          </w:tcPr>
          <w:p>
            <w:pPr>
              <w:spacing w:before="40" w:after="40"/>
              <w:jc w:val="left"/>
            </w:pPr>
            <w:r>
              <w:rPr>
                <w:rFonts w:ascii="Microsoft YaHei" w:hAnsi="Microsoft YaHei" w:eastAsia="Microsoft YaHei"/>
                <w:sz w:val="20"/>
              </w:rPr>
              <w:t>标记原始材料来源</w:t>
            </w:r>
          </w:p>
        </w:tc>
      </w:tr>
    </w:tbl>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7" w:lineRule="auto"/>
    </w:pPr>
    <w:rPr>
      <w:rFonts w:ascii="Microsoft YaHei" w:hAnsi="Microsoft YaHei"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