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59B6C5">
      <w:pPr>
        <w:spacing w:before="1800" w:after="240"/>
        <w:jc w:val="center"/>
      </w:pPr>
      <w:bookmarkStart w:id="0" w:name="_GoBack"/>
      <w:bookmarkEnd w:id="0"/>
      <w:r>
        <w:rPr>
          <w:rFonts w:ascii="Arial" w:hAnsi="Arial" w:eastAsia="Arial" w:cs="Arial"/>
          <w:b/>
          <w:bCs/>
          <w:color w:val="1E3A5F"/>
          <w:sz w:val="96"/>
          <w:szCs w:val="96"/>
        </w:rPr>
        <w:t>CliPRx</w:t>
      </w:r>
    </w:p>
    <w:p w14:paraId="7EBAD6C7">
      <w:pPr>
        <w:spacing w:before="0" w:after="140"/>
        <w:jc w:val="center"/>
      </w:pPr>
      <w:r>
        <w:rPr>
          <w:rFonts w:ascii="Arial" w:hAnsi="Arial" w:eastAsia="Arial" w:cs="Arial"/>
          <w:color w:val="2E5F8A"/>
          <w:sz w:val="40"/>
          <w:szCs w:val="40"/>
        </w:rPr>
        <w:t>Cloud Infrastructure Prescriber</w:t>
      </w:r>
    </w:p>
    <w:p w14:paraId="1C46D5A1">
      <w:pPr>
        <w:spacing w:before="140" w:after="100"/>
        <w:jc w:val="center"/>
      </w:pPr>
      <w:r>
        <w:rPr>
          <w:rFonts w:ascii="Arial" w:hAnsi="Arial" w:eastAsia="Arial" w:cs="Arial"/>
          <w:color w:val="666666"/>
          <w:sz w:val="26"/>
          <w:szCs w:val="26"/>
        </w:rPr>
        <w:t>Product Requirements Document  —  Full Product</w:t>
      </w:r>
    </w:p>
    <w:p w14:paraId="4A63C400">
      <w:pPr>
        <w:spacing w:before="80" w:after="80"/>
        <w:jc w:val="center"/>
      </w:pPr>
      <w:r>
        <w:rPr>
          <w:rFonts w:ascii="Arial" w:hAnsi="Arial" w:eastAsia="Arial" w:cs="Arial"/>
          <w:color w:val="999999"/>
          <w:sz w:val="22"/>
          <w:szCs w:val="22"/>
        </w:rPr>
        <w:t>Version 2.0  |  June 2026  |  Author: Vansh  |  Status: Draft</w:t>
      </w:r>
    </w:p>
    <w:p w14:paraId="716800B9">
      <w:pPr>
        <w:spacing w:before="80" w:after="80"/>
        <w:jc w:val="center"/>
      </w:pPr>
      <w:r>
        <w:rPr>
          <w:rFonts w:ascii="Arial" w:hAnsi="Arial" w:eastAsia="Arial" w:cs="Arial"/>
          <w:i/>
          <w:iCs/>
          <w:color w:val="999999"/>
          <w:sz w:val="22"/>
          <w:szCs w:val="22"/>
        </w:rPr>
        <w:t>Built on the DIPPA Framework</w:t>
      </w:r>
    </w:p>
    <w:p w14:paraId="262A0387">
      <w:pPr>
        <w:pBdr>
          <w:bottom w:val="single" w:color="CCCCCC" w:sz="4" w:space="1"/>
        </w:pBdr>
        <w:spacing w:before="180" w:after="180"/>
      </w:pPr>
    </w:p>
    <w:p w14:paraId="4E158803">
      <w:pPr>
        <w:pStyle w:val="2"/>
        <w:spacing w:before="400" w:after="140"/>
      </w:pPr>
      <w:r>
        <w:rPr>
          <w:rFonts w:ascii="Arial" w:hAnsi="Arial" w:eastAsia="Arial" w:cs="Arial"/>
          <w:b/>
          <w:bCs/>
          <w:color w:val="1E3A5F"/>
          <w:sz w:val="34"/>
          <w:szCs w:val="34"/>
        </w:rPr>
        <w:t>1. Executive Summary</w:t>
      </w:r>
    </w:p>
    <w:p w14:paraId="487B30D0">
      <w:pPr>
        <w:spacing w:before="80" w:after="80"/>
      </w:pPr>
      <w:r>
        <w:rPr>
          <w:rFonts w:ascii="Arial" w:hAnsi="Arial" w:eastAsia="Arial" w:cs="Arial"/>
          <w:sz w:val="22"/>
          <w:szCs w:val="22"/>
        </w:rPr>
        <w:t>CliPRx is a full-stack web application that turns cloud billing exports into prioritized, effort-weighted prescription reports. It supports AWS, Azure, and GCP billing formats. Users upload their billing CSV, declare which services are essential to their operations, and receive a ranked action report telling them exactly what to optimize, what it saves, how long it takes, and whether it conflicts with system stability.</w:t>
      </w:r>
    </w:p>
    <w:p w14:paraId="5BB25C2D">
      <w:pPr>
        <w:spacing w:before="80" w:after="80"/>
      </w:pPr>
      <w:r>
        <w:rPr>
          <w:rFonts w:ascii="Arial" w:hAnsi="Arial" w:eastAsia="Arial" w:cs="Arial"/>
          <w:sz w:val="22"/>
          <w:szCs w:val="22"/>
        </w:rPr>
        <w:t>CliPRx is not a monitoring tool. It is not a dashboard. It is a prescription engine — the final mile of cloud cost intelligence that existing tools like AWS Cost Explorer, CloudHealth, and Infracost stop short of delivering.</w:t>
      </w:r>
    </w:p>
    <w:p w14:paraId="3FDD5120">
      <w:pPr>
        <w:spacing w:before="80" w:after="80"/>
      </w:pPr>
      <w:r>
        <w:rPr>
          <w:rFonts w:ascii="Arial" w:hAnsi="Arial" w:eastAsia="Arial" w:cs="Arial"/>
          <w:sz w:val="22"/>
          <w:szCs w:val="22"/>
        </w:rPr>
        <w:t>The product is built on the DIPPA framework: a five-layer prescriptive ML pipeline that transforms raw billing data into actionable DevOps sprint tickets through structured feature classification, anomaly detection, pattern matching, failure prediction, and AI-assisted prescription rendering.</w:t>
      </w:r>
    </w:p>
    <w:p w14:paraId="42A42172">
      <w:pPr>
        <w:pBdr>
          <w:bottom w:val="single" w:color="CCCCCC" w:sz="4" w:space="1"/>
        </w:pBdr>
        <w:spacing w:before="180" w:after="180"/>
      </w:pPr>
    </w:p>
    <w:p w14:paraId="7072633C">
      <w:pPr>
        <w:pStyle w:val="2"/>
        <w:spacing w:before="400" w:after="140"/>
      </w:pPr>
      <w:r>
        <w:rPr>
          <w:rFonts w:ascii="Arial" w:hAnsi="Arial" w:eastAsia="Arial" w:cs="Arial"/>
          <w:b/>
          <w:bCs/>
          <w:color w:val="1E3A5F"/>
          <w:sz w:val="34"/>
          <w:szCs w:val="34"/>
        </w:rPr>
        <w:t>2. Problem Statement</w:t>
      </w:r>
    </w:p>
    <w:p w14:paraId="23F28C1F">
      <w:pPr>
        <w:pStyle w:val="3"/>
        <w:spacing w:before="260" w:after="100"/>
      </w:pPr>
      <w:r>
        <w:rPr>
          <w:rFonts w:ascii="Arial" w:hAnsi="Arial" w:eastAsia="Arial" w:cs="Arial"/>
          <w:b/>
          <w:bCs/>
          <w:color w:val="2E5F8A"/>
          <w:sz w:val="27"/>
          <w:szCs w:val="27"/>
        </w:rPr>
        <w:t>2.1 The Core Gap</w:t>
      </w:r>
    </w:p>
    <w:p w14:paraId="353B8756">
      <w:pPr>
        <w:spacing w:before="80" w:after="80"/>
      </w:pPr>
      <w:r>
        <w:rPr>
          <w:rFonts w:ascii="Arial" w:hAnsi="Arial" w:eastAsia="Arial" w:cs="Arial"/>
          <w:sz w:val="22"/>
          <w:szCs w:val="22"/>
        </w:rPr>
        <w:t>Companies running cloud infrastructure consistently overpay. Not because they lack visibility into their bills, but because they lack the judgment to act on that visibility safely. The gap between knowing a bill is too high and knowing exactly what to safely change is where money continues to drain.</w:t>
      </w:r>
    </w:p>
    <w:p w14:paraId="062C1FAF">
      <w:pPr>
        <w:spacing w:before="80" w:after="80"/>
      </w:pPr>
      <w:r>
        <w:rPr>
          <w:rFonts w:ascii="Arial" w:hAnsi="Arial" w:eastAsia="Arial" w:cs="Arial"/>
          <w:sz w:val="22"/>
          <w:szCs w:val="22"/>
        </w:rPr>
        <w:t>Every existing tool in the market stops at diagnosis. They surface what is expensive. None of them cross into prescriptive territory — telling you what to do, what it costs in engineering time, what the risk is, and whether it conflicts with your system stability goals.</w:t>
      </w:r>
    </w:p>
    <w:p w14:paraId="7DC7770B">
      <w:pPr>
        <w:pStyle w:val="3"/>
        <w:spacing w:before="260" w:after="100"/>
      </w:pPr>
      <w:r>
        <w:rPr>
          <w:rFonts w:ascii="Arial" w:hAnsi="Arial" w:eastAsia="Arial" w:cs="Arial"/>
          <w:b/>
          <w:bCs/>
          <w:color w:val="2E5F8A"/>
          <w:sz w:val="27"/>
          <w:szCs w:val="27"/>
        </w:rPr>
        <w:t>2.2 The Scale of Waste</w:t>
      </w:r>
    </w:p>
    <w:p w14:paraId="217C4017">
      <w:pPr>
        <w:spacing w:before="80" w:after="80"/>
      </w:pPr>
      <w:r>
        <w:rPr>
          <w:rFonts w:ascii="Arial" w:hAnsi="Arial" w:eastAsia="Arial" w:cs="Arial"/>
          <w:sz w:val="22"/>
          <w:szCs w:val="22"/>
        </w:rPr>
        <w:t>Gartner estimates companies waste 30 to 35 percent of their cloud spend on average. For a company spending $20,000 per month on AWS, Azure, and GCP combined, that is $6,000 to $7,000 in monthly recoverable waste. Recovering that waste today requires a senior DevOps consultant at significant cost, weeks of internal engineering analysis, or uninformed changes that risk production downtime.</w:t>
      </w:r>
    </w:p>
    <w:p w14:paraId="1CC16A79">
      <w:pPr>
        <w:pStyle w:val="3"/>
        <w:spacing w:before="260" w:after="100"/>
      </w:pPr>
      <w:r>
        <w:rPr>
          <w:rFonts w:ascii="Arial" w:hAnsi="Arial" w:eastAsia="Arial" w:cs="Arial"/>
          <w:b/>
          <w:bCs/>
          <w:color w:val="2E5F8A"/>
          <w:sz w:val="27"/>
          <w:szCs w:val="27"/>
        </w:rPr>
        <w:t>2.3 The Urgency Driver</w:t>
      </w:r>
    </w:p>
    <w:p w14:paraId="4C72690C">
      <w:pPr>
        <w:spacing w:before="80" w:after="80"/>
      </w:pPr>
      <w:r>
        <w:rPr>
          <w:rFonts w:ascii="Arial" w:hAnsi="Arial" w:eastAsia="Arial" w:cs="Arial"/>
          <w:sz w:val="22"/>
          <w:szCs w:val="22"/>
        </w:rPr>
        <w:t>AI workloads are accelerating cloud spend at an unprecedented rate. A single misconfigured LLM inference endpoint can add $10,000 to a monthly bill overnight. Most engineering teams do not have the DevOps maturity to handle this new category of spend. High surge in infrastructure demand is simultaneously creating a surge in cost waste and system failure risk. The problem is getting worse faster than solutions are being built.</w:t>
      </w:r>
    </w:p>
    <w:p w14:paraId="24900CA4">
      <w:pPr>
        <w:pStyle w:val="3"/>
        <w:spacing w:before="260" w:after="100"/>
      </w:pPr>
      <w:r>
        <w:rPr>
          <w:rFonts w:ascii="Arial" w:hAnsi="Arial" w:eastAsia="Arial" w:cs="Arial"/>
          <w:b/>
          <w:bCs/>
          <w:color w:val="2E5F8A"/>
          <w:sz w:val="27"/>
          <w:szCs w:val="27"/>
        </w:rPr>
        <w:t>2.4 The Founder Perspective</w:t>
      </w:r>
    </w:p>
    <w:p w14:paraId="75F2E35D">
      <w:pPr>
        <w:spacing w:before="80" w:after="80"/>
      </w:pPr>
      <w:r>
        <w:rPr>
          <w:rFonts w:ascii="Arial" w:hAnsi="Arial" w:eastAsia="Arial" w:cs="Arial"/>
          <w:sz w:val="22"/>
          <w:szCs w:val="22"/>
        </w:rPr>
        <w:t>A technical founder receiving their monthly cloud bill faces three bad options: pay a consultant to analyze it, dedicate senior engineering time to it, or ignore it and continue overpaying. CliPRx is the fourth option — upload the bill and receive a specific, ranked, safe action plan in under 60 seconds.</w:t>
      </w:r>
    </w:p>
    <w:p w14:paraId="4DAC2469">
      <w:pPr>
        <w:pBdr>
          <w:bottom w:val="single" w:color="CCCCCC" w:sz="4" w:space="1"/>
        </w:pBdr>
        <w:spacing w:before="180" w:after="180"/>
      </w:pPr>
    </w:p>
    <w:p w14:paraId="59B3144C">
      <w:pPr>
        <w:pStyle w:val="2"/>
        <w:spacing w:before="400" w:after="140"/>
      </w:pPr>
      <w:r>
        <w:rPr>
          <w:rFonts w:ascii="Arial" w:hAnsi="Arial" w:eastAsia="Arial" w:cs="Arial"/>
          <w:b/>
          <w:bCs/>
          <w:color w:val="1E3A5F"/>
          <w:sz w:val="34"/>
          <w:szCs w:val="34"/>
        </w:rPr>
        <w:t>3. Solution Overview</w:t>
      </w:r>
    </w:p>
    <w:p w14:paraId="561E2A50">
      <w:pPr>
        <w:pStyle w:val="3"/>
        <w:spacing w:before="260" w:after="100"/>
      </w:pPr>
      <w:r>
        <w:rPr>
          <w:rFonts w:ascii="Arial" w:hAnsi="Arial" w:eastAsia="Arial" w:cs="Arial"/>
          <w:b/>
          <w:bCs/>
          <w:color w:val="2E5F8A"/>
          <w:sz w:val="27"/>
          <w:szCs w:val="27"/>
        </w:rPr>
        <w:t>3.1 What CliPRx Does</w:t>
      </w:r>
    </w:p>
    <w:p w14:paraId="403E9493">
      <w:pPr>
        <w:spacing w:before="80" w:after="80"/>
      </w:pPr>
      <w:r>
        <w:rPr>
          <w:rFonts w:ascii="Arial" w:hAnsi="Arial" w:eastAsia="Arial" w:cs="Arial"/>
          <w:sz w:val="22"/>
          <w:szCs w:val="22"/>
        </w:rPr>
        <w:t>CliPRx ingests cloud billing CSV exports from AWS, Azure, or GCP, runs a three-engine hybrid ML and prescriptive pipeline, and outputs a ranked action report. Every item in the report tells the user:</w:t>
      </w:r>
    </w:p>
    <w:p w14:paraId="70B2D7E2">
      <w:pPr>
        <w:pStyle w:val="16"/>
        <w:numPr>
          <w:ilvl w:val="0"/>
          <w:numId w:val="1"/>
        </w:numPr>
        <w:spacing w:before="60" w:after="60"/>
      </w:pPr>
      <w:r>
        <w:rPr>
          <w:rFonts w:ascii="Arial" w:hAnsi="Arial" w:eastAsia="Arial" w:cs="Arial"/>
          <w:sz w:val="22"/>
          <w:szCs w:val="22"/>
        </w:rPr>
        <w:t>Which service to optimize</w:t>
      </w:r>
    </w:p>
    <w:p w14:paraId="7591F48A">
      <w:pPr>
        <w:pStyle w:val="16"/>
        <w:numPr>
          <w:ilvl w:val="0"/>
          <w:numId w:val="1"/>
        </w:numPr>
        <w:spacing w:before="60" w:after="60"/>
      </w:pPr>
      <w:r>
        <w:rPr>
          <w:rFonts w:ascii="Arial" w:hAnsi="Arial" w:eastAsia="Arial" w:cs="Arial"/>
          <w:sz w:val="22"/>
          <w:szCs w:val="22"/>
        </w:rPr>
        <w:t>What specific action to take</w:t>
      </w:r>
    </w:p>
    <w:p w14:paraId="18B36D45">
      <w:pPr>
        <w:pStyle w:val="16"/>
        <w:numPr>
          <w:ilvl w:val="0"/>
          <w:numId w:val="1"/>
        </w:numPr>
        <w:spacing w:before="60" w:after="60"/>
      </w:pPr>
      <w:r>
        <w:rPr>
          <w:rFonts w:ascii="Arial" w:hAnsi="Arial" w:eastAsia="Arial" w:cs="Arial"/>
          <w:sz w:val="22"/>
          <w:szCs w:val="22"/>
        </w:rPr>
        <w:t>Estimated monthly savings in dollars</w:t>
      </w:r>
    </w:p>
    <w:p w14:paraId="10485295">
      <w:pPr>
        <w:pStyle w:val="16"/>
        <w:numPr>
          <w:ilvl w:val="0"/>
          <w:numId w:val="1"/>
        </w:numPr>
        <w:spacing w:before="60" w:after="60"/>
      </w:pPr>
      <w:r>
        <w:rPr>
          <w:rFonts w:ascii="Arial" w:hAnsi="Arial" w:eastAsia="Arial" w:cs="Arial"/>
          <w:sz w:val="22"/>
          <w:szCs w:val="22"/>
        </w:rPr>
        <w:t>Engineering hours required to implement</w:t>
      </w:r>
    </w:p>
    <w:p w14:paraId="1E75AC43">
      <w:pPr>
        <w:pStyle w:val="16"/>
        <w:numPr>
          <w:ilvl w:val="0"/>
          <w:numId w:val="1"/>
        </w:numPr>
        <w:spacing w:before="60" w:after="60"/>
      </w:pPr>
      <w:r>
        <w:rPr>
          <w:rFonts w:ascii="Arial" w:hAnsi="Arial" w:eastAsia="Arial" w:cs="Arial"/>
          <w:sz w:val="22"/>
          <w:szCs w:val="22"/>
        </w:rPr>
        <w:t>Risk level: Low, Medium, or High</w:t>
      </w:r>
    </w:p>
    <w:p w14:paraId="02A84CFC">
      <w:pPr>
        <w:pStyle w:val="16"/>
        <w:numPr>
          <w:ilvl w:val="0"/>
          <w:numId w:val="1"/>
        </w:numPr>
        <w:spacing w:before="60" w:after="60"/>
      </w:pPr>
      <w:r>
        <w:rPr>
          <w:rFonts w:ascii="Arial" w:hAnsi="Arial" w:eastAsia="Arial" w:cs="Arial"/>
          <w:sz w:val="22"/>
          <w:szCs w:val="22"/>
        </w:rPr>
        <w:t>Whether the recommendation conflicts with declared essential services</w:t>
      </w:r>
    </w:p>
    <w:p w14:paraId="77038926">
      <w:pPr>
        <w:pStyle w:val="16"/>
        <w:numPr>
          <w:ilvl w:val="0"/>
          <w:numId w:val="1"/>
        </w:numPr>
        <w:spacing w:before="60" w:after="60"/>
      </w:pPr>
      <w:r>
        <w:rPr>
          <w:rFonts w:ascii="Arial" w:hAnsi="Arial" w:eastAsia="Arial" w:cs="Arial"/>
          <w:sz w:val="22"/>
          <w:szCs w:val="22"/>
        </w:rPr>
        <w:t>Estimated cost of failure if the service is not optimized and load increases</w:t>
      </w:r>
    </w:p>
    <w:p w14:paraId="4DD40E9A">
      <w:pPr>
        <w:spacing w:before="80" w:after="80"/>
      </w:pPr>
    </w:p>
    <w:p w14:paraId="469B5222">
      <w:pPr>
        <w:spacing w:before="80" w:after="80"/>
      </w:pPr>
      <w:r>
        <w:rPr>
          <w:rFonts w:ascii="Arial" w:hAnsi="Arial" w:eastAsia="Arial" w:cs="Arial"/>
          <w:sz w:val="22"/>
          <w:szCs w:val="22"/>
        </w:rPr>
        <w:t>The output is a prioritized DevOps backlog. Not a graph. Not a summary. A ranked list of specific actions the engineering team can execute starting immediately.</w:t>
      </w:r>
    </w:p>
    <w:p w14:paraId="05AF5781">
      <w:pPr>
        <w:pStyle w:val="3"/>
        <w:spacing w:before="260" w:after="100"/>
      </w:pPr>
      <w:r>
        <w:rPr>
          <w:rFonts w:ascii="Arial" w:hAnsi="Arial" w:eastAsia="Arial" w:cs="Arial"/>
          <w:b/>
          <w:bCs/>
          <w:color w:val="2E5F8A"/>
          <w:sz w:val="27"/>
          <w:szCs w:val="27"/>
        </w:rPr>
        <w:t>3.2 The One-Line Pitch</w:t>
      </w:r>
    </w:p>
    <w:p w14:paraId="6FFB26C1">
      <w:pPr>
        <w:spacing w:before="80" w:after="80"/>
      </w:pPr>
      <w:r>
        <w:rPr>
          <w:rFonts w:ascii="Arial" w:hAnsi="Arial" w:eastAsia="Arial" w:cs="Arial"/>
          <w:sz w:val="22"/>
          <w:szCs w:val="22"/>
        </w:rPr>
        <w:t>We turn your cloud bill into a prioritized to-do list with ROI, effort, and risk attached to every item.</w:t>
      </w:r>
    </w:p>
    <w:p w14:paraId="2EBF03BA">
      <w:pPr>
        <w:pStyle w:val="3"/>
        <w:spacing w:before="260" w:after="100"/>
      </w:pPr>
      <w:r>
        <w:rPr>
          <w:rFonts w:ascii="Arial" w:hAnsi="Arial" w:eastAsia="Arial" w:cs="Arial"/>
          <w:b/>
          <w:bCs/>
          <w:color w:val="2E5F8A"/>
          <w:sz w:val="27"/>
          <w:szCs w:val="27"/>
        </w:rPr>
        <w:t>3.3 What Makes CliPRx Different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180"/>
        <w:gridCol w:w="3180"/>
      </w:tblGrid>
      <w:tr w14:paraId="6085F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09A9B432">
            <w:r>
              <w:rPr>
                <w:rFonts w:ascii="Arial" w:hAnsi="Arial" w:eastAsia="Arial" w:cs="Arial"/>
                <w:b/>
                <w:bCs/>
                <w:color w:val="FFFFFF"/>
                <w:sz w:val="20"/>
                <w:szCs w:val="20"/>
              </w:rPr>
              <w:t>Capability</w:t>
            </w:r>
          </w:p>
        </w:tc>
        <w:tc>
          <w:tcPr>
            <w:tcW w:w="318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46618351">
            <w:r>
              <w:rPr>
                <w:rFonts w:ascii="Arial" w:hAnsi="Arial" w:eastAsia="Arial" w:cs="Arial"/>
                <w:b/>
                <w:bCs/>
                <w:color w:val="FFFFFF"/>
                <w:sz w:val="20"/>
                <w:szCs w:val="20"/>
              </w:rPr>
              <w:t>Existing Tools</w:t>
            </w:r>
          </w:p>
        </w:tc>
        <w:tc>
          <w:tcPr>
            <w:tcW w:w="318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78ABE48D">
            <w:r>
              <w:rPr>
                <w:rFonts w:ascii="Arial" w:hAnsi="Arial" w:eastAsia="Arial" w:cs="Arial"/>
                <w:b/>
                <w:bCs/>
                <w:color w:val="FFFFFF"/>
                <w:sz w:val="20"/>
                <w:szCs w:val="20"/>
              </w:rPr>
              <w:t>CliPRx</w:t>
            </w:r>
          </w:p>
        </w:tc>
      </w:tr>
      <w:tr w14:paraId="65F9B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6E971C94">
            <w:r>
              <w:rPr>
                <w:rFonts w:ascii="Arial" w:hAnsi="Arial" w:eastAsia="Arial" w:cs="Arial"/>
                <w:sz w:val="20"/>
                <w:szCs w:val="20"/>
              </w:rPr>
              <w:t>Cost visibility</w:t>
            </w:r>
          </w:p>
        </w:tc>
        <w:tc>
          <w:tcPr>
            <w:tcW w:w="31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11EF0518">
            <w:r>
              <w:rPr>
                <w:rFonts w:ascii="Arial" w:hAnsi="Arial" w:eastAsia="Arial" w:cs="Arial"/>
                <w:sz w:val="20"/>
                <w:szCs w:val="20"/>
              </w:rPr>
              <w:t>Yes</w:t>
            </w:r>
          </w:p>
        </w:tc>
        <w:tc>
          <w:tcPr>
            <w:tcW w:w="31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3B4BE7BE">
            <w:r>
              <w:rPr>
                <w:rFonts w:ascii="Arial" w:hAnsi="Arial" w:eastAsia="Arial" w:cs="Arial"/>
                <w:sz w:val="20"/>
                <w:szCs w:val="20"/>
              </w:rPr>
              <w:t>Yes</w:t>
            </w:r>
          </w:p>
        </w:tc>
      </w:tr>
      <w:tr w14:paraId="1A40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5E5F5FC">
            <w:r>
              <w:rPr>
                <w:rFonts w:ascii="Arial" w:hAnsi="Arial" w:eastAsia="Arial" w:cs="Arial"/>
                <w:sz w:val="20"/>
                <w:szCs w:val="20"/>
              </w:rPr>
              <w:t>Anomaly detection</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33E78E1">
            <w:r>
              <w:rPr>
                <w:rFonts w:ascii="Arial" w:hAnsi="Arial" w:eastAsia="Arial" w:cs="Arial"/>
                <w:sz w:val="20"/>
                <w:szCs w:val="20"/>
              </w:rPr>
              <w:t>Partial</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1BAB10F">
            <w:r>
              <w:rPr>
                <w:rFonts w:ascii="Arial" w:hAnsi="Arial" w:eastAsia="Arial" w:cs="Arial"/>
                <w:sz w:val="20"/>
                <w:szCs w:val="20"/>
              </w:rPr>
              <w:t>Yes — Isolation Forest</w:t>
            </w:r>
          </w:p>
        </w:tc>
      </w:tr>
      <w:tr w14:paraId="1581C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52D0EECC">
            <w:r>
              <w:rPr>
                <w:rFonts w:ascii="Arial" w:hAnsi="Arial" w:eastAsia="Arial" w:cs="Arial"/>
                <w:sz w:val="20"/>
                <w:szCs w:val="20"/>
              </w:rPr>
              <w:t>Specific action recommendation</w:t>
            </w:r>
          </w:p>
        </w:tc>
        <w:tc>
          <w:tcPr>
            <w:tcW w:w="31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03A36AC7">
            <w:r>
              <w:rPr>
                <w:rFonts w:ascii="Arial" w:hAnsi="Arial" w:eastAsia="Arial" w:cs="Arial"/>
                <w:sz w:val="20"/>
                <w:szCs w:val="20"/>
              </w:rPr>
              <w:t>No</w:t>
            </w:r>
          </w:p>
        </w:tc>
        <w:tc>
          <w:tcPr>
            <w:tcW w:w="31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69C2750F">
            <w:r>
              <w:rPr>
                <w:rFonts w:ascii="Arial" w:hAnsi="Arial" w:eastAsia="Arial" w:cs="Arial"/>
                <w:sz w:val="20"/>
                <w:szCs w:val="20"/>
              </w:rPr>
              <w:t>Yes — pattern library</w:t>
            </w:r>
          </w:p>
        </w:tc>
      </w:tr>
      <w:tr w14:paraId="359D1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9D6834B">
            <w:r>
              <w:rPr>
                <w:rFonts w:ascii="Arial" w:hAnsi="Arial" w:eastAsia="Arial" w:cs="Arial"/>
                <w:sz w:val="20"/>
                <w:szCs w:val="20"/>
              </w:rPr>
              <w:t>Engineering effort estimate</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6BF10AE">
            <w:r>
              <w:rPr>
                <w:rFonts w:ascii="Arial" w:hAnsi="Arial" w:eastAsia="Arial" w:cs="Arial"/>
                <w:sz w:val="20"/>
                <w:szCs w:val="20"/>
              </w:rPr>
              <w:t>No</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DB1BBE7">
            <w:r>
              <w:rPr>
                <w:rFonts w:ascii="Arial" w:hAnsi="Arial" w:eastAsia="Arial" w:cs="Arial"/>
                <w:sz w:val="20"/>
                <w:szCs w:val="20"/>
              </w:rPr>
              <w:t>Yes — per action</w:t>
            </w:r>
          </w:p>
        </w:tc>
      </w:tr>
      <w:tr w14:paraId="16B25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271C62CA">
            <w:r>
              <w:rPr>
                <w:rFonts w:ascii="Arial" w:hAnsi="Arial" w:eastAsia="Arial" w:cs="Arial"/>
                <w:sz w:val="20"/>
                <w:szCs w:val="20"/>
              </w:rPr>
              <w:t>Failure risk scoring</w:t>
            </w:r>
          </w:p>
        </w:tc>
        <w:tc>
          <w:tcPr>
            <w:tcW w:w="31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048549C4">
            <w:r>
              <w:rPr>
                <w:rFonts w:ascii="Arial" w:hAnsi="Arial" w:eastAsia="Arial" w:cs="Arial"/>
                <w:sz w:val="20"/>
                <w:szCs w:val="20"/>
              </w:rPr>
              <w:t>No</w:t>
            </w:r>
          </w:p>
        </w:tc>
        <w:tc>
          <w:tcPr>
            <w:tcW w:w="31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3755FE67">
            <w:r>
              <w:rPr>
                <w:rFonts w:ascii="Arial" w:hAnsi="Arial" w:eastAsia="Arial" w:cs="Arial"/>
                <w:sz w:val="20"/>
                <w:szCs w:val="20"/>
              </w:rPr>
              <w:t>Yes — load-based</w:t>
            </w:r>
          </w:p>
        </w:tc>
      </w:tr>
      <w:tr w14:paraId="6AB0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C7172D8">
            <w:r>
              <w:rPr>
                <w:rFonts w:ascii="Arial" w:hAnsi="Arial" w:eastAsia="Arial" w:cs="Arial"/>
                <w:sz w:val="20"/>
                <w:szCs w:val="20"/>
              </w:rPr>
              <w:t>Conflict resolution</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525F9EB">
            <w:r>
              <w:rPr>
                <w:rFonts w:ascii="Arial" w:hAnsi="Arial" w:eastAsia="Arial" w:cs="Arial"/>
                <w:sz w:val="20"/>
                <w:szCs w:val="20"/>
              </w:rPr>
              <w:t>No</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33EA83D">
            <w:r>
              <w:rPr>
                <w:rFonts w:ascii="Arial" w:hAnsi="Arial" w:eastAsia="Arial" w:cs="Arial"/>
                <w:sz w:val="20"/>
                <w:szCs w:val="20"/>
              </w:rPr>
              <w:t>Yes — three-tier classifier</w:t>
            </w:r>
          </w:p>
        </w:tc>
      </w:tr>
      <w:tr w14:paraId="209DA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5B8C3806">
            <w:r>
              <w:rPr>
                <w:rFonts w:ascii="Arial" w:hAnsi="Arial" w:eastAsia="Arial" w:cs="Arial"/>
                <w:sz w:val="20"/>
                <w:szCs w:val="20"/>
              </w:rPr>
              <w:t>Multi-cloud support</w:t>
            </w:r>
          </w:p>
        </w:tc>
        <w:tc>
          <w:tcPr>
            <w:tcW w:w="31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01042988">
            <w:r>
              <w:rPr>
                <w:rFonts w:ascii="Arial" w:hAnsi="Arial" w:eastAsia="Arial" w:cs="Arial"/>
                <w:sz w:val="20"/>
                <w:szCs w:val="20"/>
              </w:rPr>
              <w:t>Partial</w:t>
            </w:r>
          </w:p>
        </w:tc>
        <w:tc>
          <w:tcPr>
            <w:tcW w:w="31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0BCA8F39">
            <w:r>
              <w:rPr>
                <w:rFonts w:ascii="Arial" w:hAnsi="Arial" w:eastAsia="Arial" w:cs="Arial"/>
                <w:sz w:val="20"/>
                <w:szCs w:val="20"/>
              </w:rPr>
              <w:t>AWS, Azure, GCP</w:t>
            </w:r>
          </w:p>
        </w:tc>
      </w:tr>
    </w:tbl>
    <w:p w14:paraId="35C8D60D">
      <w:pPr>
        <w:pBdr>
          <w:bottom w:val="single" w:color="CCCCCC" w:sz="4" w:space="1"/>
        </w:pBdr>
        <w:spacing w:before="180" w:after="180"/>
      </w:pPr>
    </w:p>
    <w:p w14:paraId="6238C0E5">
      <w:pPr>
        <w:pStyle w:val="2"/>
        <w:spacing w:before="400" w:after="140"/>
      </w:pPr>
      <w:r>
        <w:rPr>
          <w:rFonts w:ascii="Arial" w:hAnsi="Arial" w:eastAsia="Arial" w:cs="Arial"/>
          <w:b/>
          <w:bCs/>
          <w:color w:val="1E3A5F"/>
          <w:sz w:val="34"/>
          <w:szCs w:val="34"/>
        </w:rPr>
        <w:t>4. Target Users</w:t>
      </w:r>
    </w:p>
    <w:p w14:paraId="0365C1D5">
      <w:pPr>
        <w:pStyle w:val="3"/>
        <w:spacing w:before="260" w:after="100"/>
      </w:pPr>
      <w:r>
        <w:rPr>
          <w:rFonts w:ascii="Arial" w:hAnsi="Arial" w:eastAsia="Arial" w:cs="Arial"/>
          <w:b/>
          <w:bCs/>
          <w:color w:val="2E5F8A"/>
          <w:sz w:val="27"/>
          <w:szCs w:val="27"/>
        </w:rPr>
        <w:t>4.1 Primary Users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1D88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087EBB7F">
            <w:r>
              <w:rPr>
                <w:rFonts w:ascii="Arial" w:hAnsi="Arial" w:eastAsia="Arial" w:cs="Arial"/>
                <w:b/>
                <w:bCs/>
                <w:color w:val="FFFFFF"/>
                <w:sz w:val="20"/>
                <w:szCs w:val="20"/>
              </w:rPr>
              <w:t>User Type</w:t>
            </w:r>
          </w:p>
        </w:tc>
        <w:tc>
          <w:tcPr>
            <w:tcW w:w="348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27DECE21">
            <w:r>
              <w:rPr>
                <w:rFonts w:ascii="Arial" w:hAnsi="Arial" w:eastAsia="Arial" w:cs="Arial"/>
                <w:b/>
                <w:bCs/>
                <w:color w:val="FFFFFF"/>
                <w:sz w:val="20"/>
                <w:szCs w:val="20"/>
              </w:rPr>
              <w:t>Profile</w:t>
            </w:r>
          </w:p>
        </w:tc>
        <w:tc>
          <w:tcPr>
            <w:tcW w:w="348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1D0ABA26">
            <w:r>
              <w:rPr>
                <w:rFonts w:ascii="Arial" w:hAnsi="Arial" w:eastAsia="Arial" w:cs="Arial"/>
                <w:b/>
                <w:bCs/>
                <w:color w:val="FFFFFF"/>
                <w:sz w:val="20"/>
                <w:szCs w:val="20"/>
              </w:rPr>
              <w:t>Primary Pain</w:t>
            </w:r>
          </w:p>
        </w:tc>
      </w:tr>
      <w:tr w14:paraId="226F7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7263D4C1">
            <w:r>
              <w:rPr>
                <w:rFonts w:ascii="Arial" w:hAnsi="Arial" w:eastAsia="Arial" w:cs="Arial"/>
                <w:sz w:val="20"/>
                <w:szCs w:val="20"/>
              </w:rPr>
              <w:t>Technical Founder / CTO</w:t>
            </w:r>
          </w:p>
        </w:tc>
        <w:tc>
          <w:tcPr>
            <w:tcW w:w="34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3E3F68F6">
            <w:r>
              <w:rPr>
                <w:rFonts w:ascii="Arial" w:hAnsi="Arial" w:eastAsia="Arial" w:cs="Arial"/>
                <w:sz w:val="20"/>
                <w:szCs w:val="20"/>
              </w:rPr>
              <w:t>Founding engineer or CTO at a startup spending $5K to $100K per month on cloud</w:t>
            </w:r>
          </w:p>
        </w:tc>
        <w:tc>
          <w:tcPr>
            <w:tcW w:w="34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3C851B09">
            <w:r>
              <w:rPr>
                <w:rFonts w:ascii="Arial" w:hAnsi="Arial" w:eastAsia="Arial" w:cs="Arial"/>
                <w:sz w:val="20"/>
                <w:szCs w:val="20"/>
              </w:rPr>
              <w:t>Bill is growing faster than revenue. No time to investigate. Afraid to break production.</w:t>
            </w:r>
          </w:p>
        </w:tc>
      </w:tr>
      <w:tr w14:paraId="43D46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F996C5F">
            <w:r>
              <w:rPr>
                <w:rFonts w:ascii="Arial" w:hAnsi="Arial" w:eastAsia="Arial" w:cs="Arial"/>
                <w:sz w:val="20"/>
                <w:szCs w:val="20"/>
              </w:rPr>
              <w:t>DevOps / SRE Engineer</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C8ACC0">
            <w:r>
              <w:rPr>
                <w:rFonts w:ascii="Arial" w:hAnsi="Arial" w:eastAsia="Arial" w:cs="Arial"/>
                <w:sz w:val="20"/>
                <w:szCs w:val="20"/>
              </w:rPr>
              <w:t>Infrastructure engineer handed a bill and told to reduce it without causing downtime</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CE53448">
            <w:r>
              <w:rPr>
                <w:rFonts w:ascii="Arial" w:hAnsi="Arial" w:eastAsia="Arial" w:cs="Arial"/>
                <w:sz w:val="20"/>
                <w:szCs w:val="20"/>
              </w:rPr>
              <w:t>Knows waste exists but needs prioritization and risk assessment before touching anything.</w:t>
            </w:r>
          </w:p>
        </w:tc>
      </w:tr>
    </w:tbl>
    <w:p w14:paraId="61E97A8F">
      <w:pPr>
        <w:pStyle w:val="3"/>
        <w:spacing w:before="260" w:after="100"/>
      </w:pPr>
      <w:r>
        <w:rPr>
          <w:rFonts w:ascii="Arial" w:hAnsi="Arial" w:eastAsia="Arial" w:cs="Arial"/>
          <w:b/>
          <w:bCs/>
          <w:color w:val="2E5F8A"/>
          <w:sz w:val="27"/>
          <w:szCs w:val="27"/>
        </w:rPr>
        <w:t>4.2 Secondary Users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12A4C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54695A35">
            <w:r>
              <w:rPr>
                <w:rFonts w:ascii="Arial" w:hAnsi="Arial" w:eastAsia="Arial" w:cs="Arial"/>
                <w:b/>
                <w:bCs/>
                <w:color w:val="FFFFFF"/>
                <w:sz w:val="20"/>
                <w:szCs w:val="20"/>
              </w:rPr>
              <w:t>User Type</w:t>
            </w:r>
          </w:p>
        </w:tc>
        <w:tc>
          <w:tcPr>
            <w:tcW w:w="696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77FB7C65">
            <w:r>
              <w:rPr>
                <w:rFonts w:ascii="Arial" w:hAnsi="Arial" w:eastAsia="Arial" w:cs="Arial"/>
                <w:b/>
                <w:bCs/>
                <w:color w:val="FFFFFF"/>
                <w:sz w:val="20"/>
                <w:szCs w:val="20"/>
              </w:rPr>
              <w:t>Use Case</w:t>
            </w:r>
          </w:p>
        </w:tc>
      </w:tr>
      <w:tr w14:paraId="41084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041512E4">
            <w:r>
              <w:rPr>
                <w:rFonts w:ascii="Arial" w:hAnsi="Arial" w:eastAsia="Arial" w:cs="Arial"/>
                <w:sz w:val="20"/>
                <w:szCs w:val="20"/>
              </w:rPr>
              <w:t>Tech Consultant</w:t>
            </w:r>
          </w:p>
        </w:tc>
        <w:tc>
          <w:tcPr>
            <w:tcW w:w="69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786FDC88">
            <w:r>
              <w:rPr>
                <w:rFonts w:ascii="Arial" w:hAnsi="Arial" w:eastAsia="Arial" w:cs="Arial"/>
                <w:sz w:val="20"/>
                <w:szCs w:val="20"/>
              </w:rPr>
              <w:t>Uses CliPRx as a co-pilot to accelerate client billing analysis and produce professional prescription reports</w:t>
            </w:r>
          </w:p>
        </w:tc>
      </w:tr>
      <w:tr w14:paraId="78782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EF85A8C">
            <w:r>
              <w:rPr>
                <w:rFonts w:ascii="Arial" w:hAnsi="Arial" w:eastAsia="Arial" w:cs="Arial"/>
                <w:sz w:val="20"/>
                <w:szCs w:val="20"/>
              </w:rPr>
              <w:t>Engineering Manager</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6B636B8">
            <w:r>
              <w:rPr>
                <w:rFonts w:ascii="Arial" w:hAnsi="Arial" w:eastAsia="Arial" w:cs="Arial"/>
                <w:sz w:val="20"/>
                <w:szCs w:val="20"/>
              </w:rPr>
              <w:t>Uses reports to build and prioritize infrastructure optimization sprints for their team</w:t>
            </w:r>
          </w:p>
        </w:tc>
      </w:tr>
    </w:tbl>
    <w:p w14:paraId="68747F6F">
      <w:pPr>
        <w:pBdr>
          <w:bottom w:val="single" w:color="CCCCCC" w:sz="4" w:space="1"/>
        </w:pBdr>
        <w:spacing w:before="180" w:after="180"/>
      </w:pPr>
    </w:p>
    <w:p w14:paraId="0B2DDF98">
      <w:pPr>
        <w:pStyle w:val="2"/>
        <w:spacing w:before="400" w:after="140"/>
      </w:pPr>
      <w:r>
        <w:rPr>
          <w:rFonts w:ascii="Arial" w:hAnsi="Arial" w:eastAsia="Arial" w:cs="Arial"/>
          <w:b/>
          <w:bCs/>
          <w:color w:val="1E3A5F"/>
          <w:sz w:val="34"/>
          <w:szCs w:val="34"/>
        </w:rPr>
        <w:t>5. Goals and Success Metrics</w:t>
      </w:r>
    </w:p>
    <w:p w14:paraId="571C488D">
      <w:pPr>
        <w:pStyle w:val="3"/>
        <w:spacing w:before="260" w:after="100"/>
      </w:pPr>
      <w:r>
        <w:rPr>
          <w:rFonts w:ascii="Arial" w:hAnsi="Arial" w:eastAsia="Arial" w:cs="Arial"/>
          <w:b/>
          <w:bCs/>
          <w:color w:val="2E5F8A"/>
          <w:sz w:val="27"/>
          <w:szCs w:val="27"/>
        </w:rPr>
        <w:t>5.1 Primary Goal</w:t>
      </w:r>
    </w:p>
    <w:p w14:paraId="3EC5B94D">
      <w:pPr>
        <w:spacing w:before="80" w:after="80"/>
      </w:pPr>
      <w:r>
        <w:rPr>
          <w:rFonts w:ascii="Arial" w:hAnsi="Arial" w:eastAsia="Arial" w:cs="Arial"/>
          <w:sz w:val="22"/>
          <w:szCs w:val="22"/>
        </w:rPr>
        <w:t>The user reads the CliPRx output and says the recommendations feel credible and specific. Not generic. Not obvious. Specific to their actual billing data with real numbers attached.</w:t>
      </w:r>
    </w:p>
    <w:p w14:paraId="65F8C200">
      <w:pPr>
        <w:pStyle w:val="3"/>
        <w:spacing w:before="260" w:after="100"/>
      </w:pPr>
      <w:r>
        <w:rPr>
          <w:rFonts w:ascii="Arial" w:hAnsi="Arial" w:eastAsia="Arial" w:cs="Arial"/>
          <w:b/>
          <w:bCs/>
          <w:color w:val="2E5F8A"/>
          <w:sz w:val="27"/>
          <w:szCs w:val="27"/>
        </w:rPr>
        <w:t>5.2 Product Success Metrics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227C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065EACBF">
            <w:r>
              <w:rPr>
                <w:rFonts w:ascii="Arial" w:hAnsi="Arial" w:eastAsia="Arial" w:cs="Arial"/>
                <w:b/>
                <w:bCs/>
                <w:color w:val="FFFFFF"/>
                <w:sz w:val="20"/>
                <w:szCs w:val="20"/>
              </w:rPr>
              <w:t>Metric</w:t>
            </w:r>
          </w:p>
        </w:tc>
        <w:tc>
          <w:tcPr>
            <w:tcW w:w="468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115BEFA2">
            <w:r>
              <w:rPr>
                <w:rFonts w:ascii="Arial" w:hAnsi="Arial" w:eastAsia="Arial" w:cs="Arial"/>
                <w:b/>
                <w:bCs/>
                <w:color w:val="FFFFFF"/>
                <w:sz w:val="20"/>
                <w:szCs w:val="20"/>
              </w:rPr>
              <w:t>Target</w:t>
            </w:r>
          </w:p>
        </w:tc>
      </w:tr>
      <w:tr w14:paraId="3EFDE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45701D4F">
            <w:r>
              <w:rPr>
                <w:rFonts w:ascii="Arial" w:hAnsi="Arial" w:eastAsia="Arial" w:cs="Arial"/>
                <w:sz w:val="20"/>
                <w:szCs w:val="20"/>
              </w:rPr>
              <w:t>Time to first report</w:t>
            </w:r>
          </w:p>
        </w:tc>
        <w:tc>
          <w:tcPr>
            <w:tcW w:w="46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2DF34230">
            <w:r>
              <w:rPr>
                <w:rFonts w:ascii="Arial" w:hAnsi="Arial" w:eastAsia="Arial" w:cs="Arial"/>
                <w:sz w:val="20"/>
                <w:szCs w:val="20"/>
              </w:rPr>
              <w:t>Under 60 seconds from CSV upload to rendered output</w:t>
            </w:r>
          </w:p>
        </w:tc>
      </w:tr>
      <w:tr w14:paraId="42504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70FC40F">
            <w:r>
              <w:rPr>
                <w:rFonts w:ascii="Arial" w:hAnsi="Arial" w:eastAsia="Arial" w:cs="Arial"/>
                <w:sz w:val="20"/>
                <w:szCs w:val="20"/>
              </w:rPr>
              <w:t>Recommendation specificity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E383E37">
            <w:r>
              <w:rPr>
                <w:rFonts w:ascii="Arial" w:hAnsi="Arial" w:eastAsia="Arial" w:cs="Arial"/>
                <w:sz w:val="20"/>
                <w:szCs w:val="20"/>
              </w:rPr>
              <w:t>Every recommendation includes service, action, savings, hours, and risk level</w:t>
            </w:r>
          </w:p>
        </w:tc>
      </w:tr>
      <w:tr w14:paraId="73F89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0694DE3C">
            <w:r>
              <w:rPr>
                <w:rFonts w:ascii="Arial" w:hAnsi="Arial" w:eastAsia="Arial" w:cs="Arial"/>
                <w:sz w:val="20"/>
                <w:szCs w:val="20"/>
              </w:rPr>
              <w:t>Conflict resolution accuracy</w:t>
            </w:r>
          </w:p>
        </w:tc>
        <w:tc>
          <w:tcPr>
            <w:tcW w:w="46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04D7D031">
            <w:r>
              <w:rPr>
                <w:rFonts w:ascii="Arial" w:hAnsi="Arial" w:eastAsia="Arial" w:cs="Arial"/>
                <w:sz w:val="20"/>
                <w:szCs w:val="20"/>
              </w:rPr>
              <w:t>No safe recommendation contradicts a service declared essential by the user</w:t>
            </w:r>
          </w:p>
        </w:tc>
      </w:tr>
      <w:tr w14:paraId="2C0F5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5253977">
            <w:r>
              <w:rPr>
                <w:rFonts w:ascii="Arial" w:hAnsi="Arial" w:eastAsia="Arial" w:cs="Arial"/>
                <w:sz w:val="20"/>
                <w:szCs w:val="20"/>
              </w:rPr>
              <w:t>Multi-cloud parser accuracy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2AE5A4E">
            <w:r>
              <w:rPr>
                <w:rFonts w:ascii="Arial" w:hAnsi="Arial" w:eastAsia="Arial" w:cs="Arial"/>
                <w:sz w:val="20"/>
                <w:szCs w:val="20"/>
              </w:rPr>
              <w:t>Correct parsing of AWS, Azure, and GCP CSV formats with zero silent failures</w:t>
            </w:r>
          </w:p>
        </w:tc>
      </w:tr>
      <w:tr w14:paraId="45DEE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110681DD">
            <w:r>
              <w:rPr>
                <w:rFonts w:ascii="Arial" w:hAnsi="Arial" w:eastAsia="Arial" w:cs="Arial"/>
                <w:sz w:val="20"/>
                <w:szCs w:val="20"/>
              </w:rPr>
              <w:t>Report download success rate</w:t>
            </w:r>
          </w:p>
        </w:tc>
        <w:tc>
          <w:tcPr>
            <w:tcW w:w="46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546D1439">
            <w:r>
              <w:rPr>
                <w:rFonts w:ascii="Arial" w:hAnsi="Arial" w:eastAsia="Arial" w:cs="Arial"/>
                <w:sz w:val="20"/>
                <w:szCs w:val="20"/>
              </w:rPr>
              <w:t>PDF export works correctly on all modern browsers</w:t>
            </w:r>
          </w:p>
        </w:tc>
      </w:tr>
    </w:tbl>
    <w:p w14:paraId="50D119A2">
      <w:pPr>
        <w:pBdr>
          <w:bottom w:val="single" w:color="CCCCCC" w:sz="4" w:space="1"/>
        </w:pBdr>
        <w:spacing w:before="180" w:after="180"/>
      </w:pPr>
    </w:p>
    <w:p w14:paraId="159B1BB2">
      <w:pPr>
        <w:pStyle w:val="2"/>
        <w:spacing w:before="400" w:after="140"/>
      </w:pPr>
      <w:r>
        <w:rPr>
          <w:rFonts w:ascii="Arial" w:hAnsi="Arial" w:eastAsia="Arial" w:cs="Arial"/>
          <w:b/>
          <w:bCs/>
          <w:color w:val="1E3A5F"/>
          <w:sz w:val="34"/>
          <w:szCs w:val="34"/>
        </w:rPr>
        <w:t>6. Full Feature Scope</w:t>
      </w:r>
    </w:p>
    <w:p w14:paraId="7660E3F2">
      <w:pPr>
        <w:pStyle w:val="3"/>
        <w:spacing w:before="260" w:after="100"/>
      </w:pPr>
      <w:r>
        <w:rPr>
          <w:rFonts w:ascii="Arial" w:hAnsi="Arial" w:eastAsia="Arial" w:cs="Arial"/>
          <w:b/>
          <w:bCs/>
          <w:color w:val="2E5F8A"/>
          <w:sz w:val="27"/>
          <w:szCs w:val="27"/>
        </w:rPr>
        <w:t>6.1 Marketing Landing Page</w:t>
      </w:r>
    </w:p>
    <w:p w14:paraId="27F1EBE2">
      <w:pPr>
        <w:spacing w:before="80" w:after="80"/>
      </w:pPr>
      <w:r>
        <w:rPr>
          <w:rFonts w:ascii="Arial" w:hAnsi="Arial" w:eastAsia="Arial" w:cs="Arial"/>
          <w:sz w:val="22"/>
          <w:szCs w:val="22"/>
        </w:rPr>
        <w:t>Unauthenticated users land on a marketing page that explains what CliPRx does, who it is for, and how it works. The page includes a clear call to action to sign up or log in. No billing data is shown to unauthenticated users under any circumstance.</w:t>
      </w:r>
    </w:p>
    <w:p w14:paraId="3A293662">
      <w:pPr>
        <w:pStyle w:val="16"/>
        <w:numPr>
          <w:ilvl w:val="0"/>
          <w:numId w:val="1"/>
        </w:numPr>
        <w:spacing w:before="60" w:after="60"/>
      </w:pPr>
      <w:r>
        <w:rPr>
          <w:rFonts w:ascii="Arial" w:hAnsi="Arial" w:eastAsia="Arial" w:cs="Arial"/>
          <w:sz w:val="22"/>
          <w:szCs w:val="22"/>
        </w:rPr>
        <w:t>Hero section with one-line product pitch</w:t>
      </w:r>
    </w:p>
    <w:p w14:paraId="658B426C">
      <w:pPr>
        <w:pStyle w:val="16"/>
        <w:numPr>
          <w:ilvl w:val="0"/>
          <w:numId w:val="1"/>
        </w:numPr>
        <w:spacing w:before="60" w:after="60"/>
      </w:pPr>
      <w:r>
        <w:rPr>
          <w:rFonts w:ascii="Arial" w:hAnsi="Arial" w:eastAsia="Arial" w:cs="Arial"/>
          <w:sz w:val="22"/>
          <w:szCs w:val="22"/>
        </w:rPr>
        <w:t>How it works section — three steps: upload, declare, receive</w:t>
      </w:r>
    </w:p>
    <w:p w14:paraId="19E8E7FB">
      <w:pPr>
        <w:pStyle w:val="16"/>
        <w:numPr>
          <w:ilvl w:val="0"/>
          <w:numId w:val="1"/>
        </w:numPr>
        <w:spacing w:before="60" w:after="60"/>
      </w:pPr>
      <w:r>
        <w:rPr>
          <w:rFonts w:ascii="Arial" w:hAnsi="Arial" w:eastAsia="Arial" w:cs="Arial"/>
          <w:sz w:val="22"/>
          <w:szCs w:val="22"/>
        </w:rPr>
        <w:t>Differentiation section — what CliPRx does that existing tools do not</w:t>
      </w:r>
    </w:p>
    <w:p w14:paraId="7EB2EE58">
      <w:pPr>
        <w:pStyle w:val="16"/>
        <w:numPr>
          <w:ilvl w:val="0"/>
          <w:numId w:val="1"/>
        </w:numPr>
        <w:spacing w:before="60" w:after="60"/>
      </w:pPr>
      <w:r>
        <w:rPr>
          <w:rFonts w:ascii="Arial" w:hAnsi="Arial" w:eastAsia="Arial" w:cs="Arial"/>
          <w:sz w:val="22"/>
          <w:szCs w:val="22"/>
        </w:rPr>
        <w:t>Sign up and login buttons</w:t>
      </w:r>
    </w:p>
    <w:p w14:paraId="3E3047C8">
      <w:pPr>
        <w:pStyle w:val="3"/>
        <w:spacing w:before="260" w:after="100"/>
      </w:pPr>
      <w:r>
        <w:rPr>
          <w:rFonts w:ascii="Arial" w:hAnsi="Arial" w:eastAsia="Arial" w:cs="Arial"/>
          <w:b/>
          <w:bCs/>
          <w:color w:val="2E5F8A"/>
          <w:sz w:val="27"/>
          <w:szCs w:val="27"/>
        </w:rPr>
        <w:t>6.2 Authentication</w:t>
      </w:r>
    </w:p>
    <w:p w14:paraId="5AFB826C">
      <w:pPr>
        <w:spacing w:before="80" w:after="80"/>
      </w:pPr>
      <w:r>
        <w:rPr>
          <w:rFonts w:ascii="Arial" w:hAnsi="Arial" w:eastAsia="Arial" w:cs="Arial"/>
          <w:sz w:val="22"/>
          <w:szCs w:val="22"/>
        </w:rPr>
        <w:t>CliPRx supports two authentication methods: email and password with secure hashed storage, and Google OAuth for one-click sign in. Both methods create the same user account type with identical access.</w:t>
      </w:r>
    </w:p>
    <w:p w14:paraId="0680C84F">
      <w:pPr>
        <w:pStyle w:val="16"/>
        <w:numPr>
          <w:ilvl w:val="0"/>
          <w:numId w:val="1"/>
        </w:numPr>
        <w:spacing w:before="60" w:after="60"/>
      </w:pPr>
      <w:r>
        <w:rPr>
          <w:rFonts w:ascii="Arial" w:hAnsi="Arial" w:eastAsia="Arial" w:cs="Arial"/>
          <w:sz w:val="22"/>
          <w:szCs w:val="22"/>
        </w:rPr>
        <w:t>Email and password registration with validation</w:t>
      </w:r>
    </w:p>
    <w:p w14:paraId="08ED5F4B">
      <w:pPr>
        <w:pStyle w:val="16"/>
        <w:numPr>
          <w:ilvl w:val="0"/>
          <w:numId w:val="1"/>
        </w:numPr>
        <w:spacing w:before="60" w:after="60"/>
      </w:pPr>
      <w:r>
        <w:rPr>
          <w:rFonts w:ascii="Arial" w:hAnsi="Arial" w:eastAsia="Arial" w:cs="Arial"/>
          <w:sz w:val="22"/>
          <w:szCs w:val="22"/>
        </w:rPr>
        <w:t>Google OAuth sign in</w:t>
      </w:r>
    </w:p>
    <w:p w14:paraId="64CA1542">
      <w:pPr>
        <w:pStyle w:val="16"/>
        <w:numPr>
          <w:ilvl w:val="0"/>
          <w:numId w:val="1"/>
        </w:numPr>
        <w:spacing w:before="60" w:after="60"/>
      </w:pPr>
      <w:r>
        <w:rPr>
          <w:rFonts w:ascii="Arial" w:hAnsi="Arial" w:eastAsia="Arial" w:cs="Arial"/>
          <w:sz w:val="22"/>
          <w:szCs w:val="22"/>
        </w:rPr>
        <w:t>Password reset via email</w:t>
      </w:r>
    </w:p>
    <w:p w14:paraId="33F5BDD0">
      <w:pPr>
        <w:pStyle w:val="16"/>
        <w:numPr>
          <w:ilvl w:val="0"/>
          <w:numId w:val="1"/>
        </w:numPr>
        <w:spacing w:before="60" w:after="60"/>
      </w:pPr>
      <w:r>
        <w:rPr>
          <w:rFonts w:ascii="Arial" w:hAnsi="Arial" w:eastAsia="Arial" w:cs="Arial"/>
          <w:sz w:val="22"/>
          <w:szCs w:val="22"/>
        </w:rPr>
        <w:t>Session management with secure JWT tokens</w:t>
      </w:r>
    </w:p>
    <w:p w14:paraId="3ABD318E">
      <w:pPr>
        <w:pStyle w:val="16"/>
        <w:numPr>
          <w:ilvl w:val="0"/>
          <w:numId w:val="1"/>
        </w:numPr>
        <w:spacing w:before="60" w:after="60"/>
      </w:pPr>
      <w:r>
        <w:rPr>
          <w:rFonts w:ascii="Arial" w:hAnsi="Arial" w:eastAsia="Arial" w:cs="Arial"/>
          <w:sz w:val="22"/>
          <w:szCs w:val="22"/>
        </w:rPr>
        <w:t>Automatic session expiry after 7 days of inactivity</w:t>
      </w:r>
    </w:p>
    <w:p w14:paraId="2AE6B8A7">
      <w:pPr>
        <w:pStyle w:val="3"/>
        <w:spacing w:before="260" w:after="100"/>
      </w:pPr>
      <w:r>
        <w:rPr>
          <w:rFonts w:ascii="Arial" w:hAnsi="Arial" w:eastAsia="Arial" w:cs="Arial"/>
          <w:b/>
          <w:bCs/>
          <w:color w:val="2E5F8A"/>
          <w:sz w:val="27"/>
          <w:szCs w:val="27"/>
        </w:rPr>
        <w:t>6.3 Multi-Cloud CSV Upload</w:t>
      </w:r>
    </w:p>
    <w:p w14:paraId="53A76C0B">
      <w:pPr>
        <w:spacing w:before="80" w:after="80"/>
      </w:pPr>
      <w:r>
        <w:rPr>
          <w:rFonts w:ascii="Arial" w:hAnsi="Arial" w:eastAsia="Arial" w:cs="Arial"/>
          <w:sz w:val="22"/>
          <w:szCs w:val="22"/>
        </w:rPr>
        <w:t>The upload interface presents three explicit tabs — AWS, Azure, and GCP. The user selects their cloud provider first, then uploads the corresponding billing export CSV. This explicit selection ensures the correct parser is invoked and prevents silent misparsing from cross-provider schema conflicts.</w:t>
      </w:r>
    </w:p>
    <w:p w14:paraId="33248FEF">
      <w:pPr>
        <w:pStyle w:val="16"/>
        <w:numPr>
          <w:ilvl w:val="0"/>
          <w:numId w:val="1"/>
        </w:numPr>
        <w:spacing w:before="60" w:after="60"/>
      </w:pPr>
      <w:r>
        <w:rPr>
          <w:rFonts w:ascii="Arial" w:hAnsi="Arial" w:eastAsia="Arial" w:cs="Arial"/>
          <w:sz w:val="22"/>
          <w:szCs w:val="22"/>
        </w:rPr>
        <w:t>AWS Cost Explorer CSV format support</w:t>
      </w:r>
    </w:p>
    <w:p w14:paraId="670F6FD0">
      <w:pPr>
        <w:pStyle w:val="16"/>
        <w:numPr>
          <w:ilvl w:val="0"/>
          <w:numId w:val="1"/>
        </w:numPr>
        <w:spacing w:before="60" w:after="60"/>
      </w:pPr>
      <w:r>
        <w:rPr>
          <w:rFonts w:ascii="Arial" w:hAnsi="Arial" w:eastAsia="Arial" w:cs="Arial"/>
          <w:sz w:val="22"/>
          <w:szCs w:val="22"/>
        </w:rPr>
        <w:t>Azure Cost Management export CSV format support</w:t>
      </w:r>
    </w:p>
    <w:p w14:paraId="71BE04DF">
      <w:pPr>
        <w:pStyle w:val="16"/>
        <w:numPr>
          <w:ilvl w:val="0"/>
          <w:numId w:val="1"/>
        </w:numPr>
        <w:spacing w:before="60" w:after="60"/>
      </w:pPr>
      <w:r>
        <w:rPr>
          <w:rFonts w:ascii="Arial" w:hAnsi="Arial" w:eastAsia="Arial" w:cs="Arial"/>
          <w:sz w:val="22"/>
          <w:szCs w:val="22"/>
        </w:rPr>
        <w:t>GCP Billing export CSV format support</w:t>
      </w:r>
    </w:p>
    <w:p w14:paraId="675C009B">
      <w:pPr>
        <w:pStyle w:val="16"/>
        <w:numPr>
          <w:ilvl w:val="0"/>
          <w:numId w:val="1"/>
        </w:numPr>
        <w:spacing w:before="60" w:after="60"/>
      </w:pPr>
      <w:r>
        <w:rPr>
          <w:rFonts w:ascii="Arial" w:hAnsi="Arial" w:eastAsia="Arial" w:cs="Arial"/>
          <w:sz w:val="22"/>
          <w:szCs w:val="22"/>
        </w:rPr>
        <w:t>File format validation with clear error messages on unrecognized schema</w:t>
      </w:r>
    </w:p>
    <w:p w14:paraId="4794FA84">
      <w:pPr>
        <w:pStyle w:val="16"/>
        <w:numPr>
          <w:ilvl w:val="0"/>
          <w:numId w:val="1"/>
        </w:numPr>
        <w:spacing w:before="60" w:after="60"/>
      </w:pPr>
      <w:r>
        <w:rPr>
          <w:rFonts w:ascii="Arial" w:hAnsi="Arial" w:eastAsia="Arial" w:cs="Arial"/>
          <w:sz w:val="22"/>
          <w:szCs w:val="22"/>
        </w:rPr>
        <w:t>Maximum file size limit of 50MB per upload</w:t>
      </w:r>
    </w:p>
    <w:p w14:paraId="7647F318">
      <w:pPr>
        <w:pStyle w:val="16"/>
        <w:numPr>
          <w:ilvl w:val="0"/>
          <w:numId w:val="1"/>
        </w:numPr>
        <w:spacing w:before="60" w:after="60"/>
      </w:pPr>
      <w:r>
        <w:rPr>
          <w:rFonts w:ascii="Arial" w:hAnsi="Arial" w:eastAsia="Arial" w:cs="Arial"/>
          <w:sz w:val="22"/>
          <w:szCs w:val="22"/>
        </w:rPr>
        <w:t>Upload progress indicator</w:t>
      </w:r>
    </w:p>
    <w:p w14:paraId="29E0CE36">
      <w:pPr>
        <w:pStyle w:val="3"/>
        <w:spacing w:before="260" w:after="100"/>
      </w:pPr>
      <w:r>
        <w:rPr>
          <w:rFonts w:ascii="Arial" w:hAnsi="Arial" w:eastAsia="Arial" w:cs="Arial"/>
          <w:b/>
          <w:bCs/>
          <w:color w:val="2E5F8A"/>
          <w:sz w:val="27"/>
          <w:szCs w:val="27"/>
        </w:rPr>
        <w:t>6.4 Essential Services Declaration</w:t>
      </w:r>
    </w:p>
    <w:p w14:paraId="681DB633">
      <w:pPr>
        <w:spacing w:before="80" w:after="80"/>
      </w:pPr>
      <w:r>
        <w:rPr>
          <w:rFonts w:ascii="Arial" w:hAnsi="Arial" w:eastAsia="Arial" w:cs="Arial"/>
          <w:sz w:val="22"/>
          <w:szCs w:val="22"/>
        </w:rPr>
        <w:t>Before the pipeline runs, the user is presented with a parsed list of services found in their billing CSV. They mark which services are essential to their operations. This input feeds the three-tier feature classifier in the conflict resolution layer.</w:t>
      </w:r>
    </w:p>
    <w:p w14:paraId="6FED8E46">
      <w:pPr>
        <w:pStyle w:val="16"/>
        <w:numPr>
          <w:ilvl w:val="0"/>
          <w:numId w:val="1"/>
        </w:numPr>
        <w:spacing w:before="60" w:after="60"/>
      </w:pPr>
      <w:r>
        <w:rPr>
          <w:rFonts w:ascii="Arial" w:hAnsi="Arial" w:eastAsia="Arial" w:cs="Arial"/>
          <w:sz w:val="22"/>
          <w:szCs w:val="22"/>
        </w:rPr>
        <w:t>Auto-parsed service list from uploaded CSV</w:t>
      </w:r>
    </w:p>
    <w:p w14:paraId="505DEA8A">
      <w:pPr>
        <w:pStyle w:val="16"/>
        <w:numPr>
          <w:ilvl w:val="0"/>
          <w:numId w:val="1"/>
        </w:numPr>
        <w:spacing w:before="60" w:after="60"/>
      </w:pPr>
      <w:r>
        <w:rPr>
          <w:rFonts w:ascii="Arial" w:hAnsi="Arial" w:eastAsia="Arial" w:cs="Arial"/>
          <w:sz w:val="22"/>
          <w:szCs w:val="22"/>
        </w:rPr>
        <w:t>Checkbox interface for marking essential services</w:t>
      </w:r>
    </w:p>
    <w:p w14:paraId="0A09E3A2">
      <w:pPr>
        <w:pStyle w:val="16"/>
        <w:numPr>
          <w:ilvl w:val="0"/>
          <w:numId w:val="1"/>
        </w:numPr>
        <w:spacing w:before="60" w:after="60"/>
      </w:pPr>
      <w:r>
        <w:rPr>
          <w:rFonts w:ascii="Arial" w:hAnsi="Arial" w:eastAsia="Arial" w:cs="Arial"/>
          <w:sz w:val="22"/>
          <w:szCs w:val="22"/>
        </w:rPr>
        <w:t>Optional notes field per service for user context</w:t>
      </w:r>
    </w:p>
    <w:p w14:paraId="27CCBC77">
      <w:pPr>
        <w:pStyle w:val="16"/>
        <w:numPr>
          <w:ilvl w:val="0"/>
          <w:numId w:val="1"/>
        </w:numPr>
        <w:spacing w:before="60" w:after="60"/>
      </w:pPr>
      <w:r>
        <w:rPr>
          <w:rFonts w:ascii="Arial" w:hAnsi="Arial" w:eastAsia="Arial" w:cs="Arial"/>
          <w:sz w:val="22"/>
          <w:szCs w:val="22"/>
        </w:rPr>
        <w:t>Ability to edit declarations before rerunning pipeline</w:t>
      </w:r>
    </w:p>
    <w:p w14:paraId="7C63F9E0">
      <w:pPr>
        <w:pStyle w:val="3"/>
        <w:spacing w:before="260" w:after="100"/>
      </w:pPr>
      <w:r>
        <w:rPr>
          <w:rFonts w:ascii="Arial" w:hAnsi="Arial" w:eastAsia="Arial" w:cs="Arial"/>
          <w:b/>
          <w:bCs/>
          <w:color w:val="2E5F8A"/>
          <w:sz w:val="27"/>
          <w:szCs w:val="27"/>
        </w:rPr>
        <w:t>6.5 Three-Engine Pipeline</w:t>
      </w:r>
    </w:p>
    <w:p w14:paraId="65085370">
      <w:pPr>
        <w:spacing w:before="200" w:after="80"/>
      </w:pPr>
      <w:r>
        <w:rPr>
          <w:rFonts w:ascii="Arial" w:hAnsi="Arial" w:eastAsia="Arial" w:cs="Arial"/>
          <w:b/>
          <w:bCs/>
          <w:color w:val="3A7FC1"/>
          <w:sz w:val="24"/>
          <w:szCs w:val="24"/>
        </w:rPr>
        <w:t>Engine 1 — Isolation Forest Anomaly Detection</w:t>
      </w:r>
    </w:p>
    <w:p w14:paraId="44B3958A">
      <w:pPr>
        <w:spacing w:before="80" w:after="80"/>
      </w:pPr>
      <w:r>
        <w:rPr>
          <w:rFonts w:ascii="Arial" w:hAnsi="Arial" w:eastAsia="Arial" w:cs="Arial"/>
          <w:sz w:val="22"/>
          <w:szCs w:val="22"/>
        </w:rPr>
        <w:t>An unsupervised Isolation Forest model runs on the parsed billing data to identify statistically abnormal cost patterns. Each service receives an anomaly score between 0 and 1. Services above the configurable threshold are flagged for pattern matching.</w:t>
      </w:r>
    </w:p>
    <w:p w14:paraId="41068219">
      <w:pPr>
        <w:spacing w:before="200" w:after="80"/>
      </w:pPr>
      <w:r>
        <w:rPr>
          <w:rFonts w:ascii="Arial" w:hAnsi="Arial" w:eastAsia="Arial" w:cs="Arial"/>
          <w:b/>
          <w:bCs/>
          <w:color w:val="3A7FC1"/>
          <w:sz w:val="24"/>
          <w:szCs w:val="24"/>
        </w:rPr>
        <w:t>Engine 2 — Pattern Library Matching</w:t>
      </w:r>
    </w:p>
    <w:p w14:paraId="0F0712B1">
      <w:pPr>
        <w:spacing w:before="80" w:after="80"/>
      </w:pPr>
      <w:r>
        <w:rPr>
          <w:rFonts w:ascii="Arial" w:hAnsi="Arial" w:eastAsia="Arial" w:cs="Arial"/>
          <w:sz w:val="22"/>
          <w:szCs w:val="22"/>
        </w:rPr>
        <w:t>A curated library of 30 cost-action patterns covers the highest-frequency waste scenarios across AWS, Azure, and GCP. Each pattern defines a trigger condition, recommended action, savings range, engineering hours estimate, downtime risk level, and implementation complexity. The engine matches flagged services against relevant patterns.</w:t>
      </w:r>
    </w:p>
    <w:p w14:paraId="716DEFFB">
      <w:pPr>
        <w:spacing w:before="200" w:after="80"/>
      </w:pPr>
      <w:r>
        <w:rPr>
          <w:rFonts w:ascii="Arial" w:hAnsi="Arial" w:eastAsia="Arial" w:cs="Arial"/>
          <w:b/>
          <w:bCs/>
          <w:color w:val="3A7FC1"/>
          <w:sz w:val="24"/>
          <w:szCs w:val="24"/>
        </w:rPr>
        <w:t>Engine 3 — Failure Prediction</w:t>
      </w:r>
    </w:p>
    <w:p w14:paraId="7E557014">
      <w:pPr>
        <w:spacing w:before="80" w:after="80"/>
      </w:pPr>
      <w:r>
        <w:rPr>
          <w:rFonts w:ascii="Arial" w:hAnsi="Arial" w:eastAsia="Arial" w:cs="Arial"/>
          <w:sz w:val="22"/>
          <w:szCs w:val="22"/>
        </w:rPr>
        <w:t>For each flagged service, a load-based risk scoring model estimates failure probability under projected growth. Risk is scored as Low, Medium, or High. High-risk services include an estimated cost of failure based on projected downtime cost.</w:t>
      </w:r>
    </w:p>
    <w:p w14:paraId="115601AC">
      <w:pPr>
        <w:pStyle w:val="3"/>
        <w:spacing w:before="260" w:after="100"/>
      </w:pPr>
      <w:r>
        <w:rPr>
          <w:rFonts w:ascii="Arial" w:hAnsi="Arial" w:eastAsia="Arial" w:cs="Arial"/>
          <w:b/>
          <w:bCs/>
          <w:color w:val="2E5F8A"/>
          <w:sz w:val="27"/>
          <w:szCs w:val="27"/>
        </w:rPr>
        <w:t>6.6 Conflict Resolution Layer</w:t>
      </w:r>
    </w:p>
    <w:p w14:paraId="37BAFD8E">
      <w:pPr>
        <w:spacing w:before="80" w:after="80"/>
      </w:pPr>
      <w:r>
        <w:rPr>
          <w:rFonts w:ascii="Arial" w:hAnsi="Arial" w:eastAsia="Arial" w:cs="Arial"/>
          <w:sz w:val="22"/>
          <w:szCs w:val="22"/>
        </w:rPr>
        <w:t>The conflict resolution layer sits between the three engines and the output renderer. It applies a three-tier feature classification to every service and checks whether any cost-saving recommendation would increase the failure risk score of an essential service by more than 20 percent. Conflicted recommendations are automatically flagged and deprioritized.</w:t>
      </w:r>
    </w:p>
    <w:p w14:paraId="050A44D1">
      <w:pPr>
        <w:pStyle w:val="16"/>
        <w:numPr>
          <w:ilvl w:val="0"/>
          <w:numId w:val="1"/>
        </w:numPr>
        <w:spacing w:before="60" w:after="60"/>
      </w:pPr>
      <w:r>
        <w:rPr>
          <w:rFonts w:ascii="Arial" w:hAnsi="Arial" w:eastAsia="Arial" w:cs="Arial"/>
          <w:sz w:val="22"/>
          <w:szCs w:val="22"/>
        </w:rPr>
        <w:t>Tier 1 — Fully Immutable: essential services declared by user, no prescription generated</w:t>
      </w:r>
    </w:p>
    <w:p w14:paraId="08E21530">
      <w:pPr>
        <w:pStyle w:val="16"/>
        <w:numPr>
          <w:ilvl w:val="0"/>
          <w:numId w:val="1"/>
        </w:numPr>
        <w:spacing w:before="60" w:after="60"/>
      </w:pPr>
      <w:r>
        <w:rPr>
          <w:rFonts w:ascii="Arial" w:hAnsi="Arial" w:eastAsia="Arial" w:cs="Arial"/>
          <w:sz w:val="22"/>
          <w:szCs w:val="22"/>
        </w:rPr>
        <w:t>Tier 2 — Immutable Core, Optimizable Periphery: service stays but configuration around it is fair game</w:t>
      </w:r>
    </w:p>
    <w:p w14:paraId="00BDAC05">
      <w:pPr>
        <w:pStyle w:val="16"/>
        <w:numPr>
          <w:ilvl w:val="0"/>
          <w:numId w:val="1"/>
        </w:numPr>
        <w:spacing w:before="60" w:after="60"/>
      </w:pPr>
      <w:r>
        <w:rPr>
          <w:rFonts w:ascii="Arial" w:hAnsi="Arial" w:eastAsia="Arial" w:cs="Arial"/>
          <w:sz w:val="22"/>
          <w:szCs w:val="22"/>
        </w:rPr>
        <w:t>Tier 3 — Fully Actionable: no essential dependency, full prescription generated</w:t>
      </w:r>
    </w:p>
    <w:p w14:paraId="396460C8">
      <w:pPr>
        <w:pStyle w:val="3"/>
        <w:spacing w:before="260" w:after="100"/>
      </w:pPr>
      <w:r>
        <w:rPr>
          <w:rFonts w:ascii="Arial" w:hAnsi="Arial" w:eastAsia="Arial" w:cs="Arial"/>
          <w:b/>
          <w:bCs/>
          <w:color w:val="2E5F8A"/>
          <w:sz w:val="27"/>
          <w:szCs w:val="27"/>
        </w:rPr>
        <w:t>6.7 Prescription Report</w:t>
      </w:r>
    </w:p>
    <w:p w14:paraId="680B01C5">
      <w:pPr>
        <w:spacing w:before="80" w:after="80"/>
      </w:pPr>
      <w:r>
        <w:rPr>
          <w:rFonts w:ascii="Arial" w:hAnsi="Arial" w:eastAsia="Arial" w:cs="Arial"/>
          <w:sz w:val="22"/>
          <w:szCs w:val="22"/>
        </w:rPr>
        <w:t>The output report ranks all non-conflicted recommendations by ROI score. ROI is calculated as estimated monthly savings divided by engineering hours, adjusted by a risk multiplier. Higher ROI items appear first.</w:t>
      </w:r>
    </w:p>
    <w:p w14:paraId="7EEF59BE">
      <w:pPr>
        <w:spacing w:before="80" w:after="80"/>
      </w:pPr>
      <w:r>
        <w:rPr>
          <w:rFonts w:ascii="Arial" w:hAnsi="Arial" w:eastAsia="Arial" w:cs="Arial"/>
          <w:sz w:val="22"/>
          <w:szCs w:val="22"/>
        </w:rPr>
        <w:t>Each recommendation is presented as a card containing: service name, cloud provider badge, recommended action, monthly savings estimate, engineering hours, risk level badge, failure impact indicator, conflict status, and the specific sprint ticket text generated by the Gemini API.</w:t>
      </w:r>
    </w:p>
    <w:p w14:paraId="370465DD">
      <w:pPr>
        <w:pStyle w:val="3"/>
        <w:spacing w:before="260" w:after="100"/>
      </w:pPr>
      <w:r>
        <w:rPr>
          <w:rFonts w:ascii="Arial" w:hAnsi="Arial" w:eastAsia="Arial" w:cs="Arial"/>
          <w:b/>
          <w:bCs/>
          <w:color w:val="2E5F8A"/>
          <w:sz w:val="27"/>
          <w:szCs w:val="27"/>
        </w:rPr>
        <w:t>6.8 PDF Export</w:t>
      </w:r>
    </w:p>
    <w:p w14:paraId="54DE16DD">
      <w:pPr>
        <w:spacing w:before="80" w:after="80"/>
      </w:pPr>
      <w:r>
        <w:rPr>
          <w:rFonts w:ascii="Arial" w:hAnsi="Arial" w:eastAsia="Arial" w:cs="Arial"/>
          <w:sz w:val="22"/>
          <w:szCs w:val="22"/>
        </w:rPr>
        <w:t>The user can download the full prescription report as a professionally formatted PDF. The PDF includes all recommendation cards, a summary section with total estimated savings, and a footer identifying it as generated by CliPRx.</w:t>
      </w:r>
    </w:p>
    <w:p w14:paraId="6683AB5B">
      <w:pPr>
        <w:pStyle w:val="3"/>
        <w:spacing w:before="260" w:after="100"/>
      </w:pPr>
      <w:r>
        <w:rPr>
          <w:rFonts w:ascii="Arial" w:hAnsi="Arial" w:eastAsia="Arial" w:cs="Arial"/>
          <w:b/>
          <w:bCs/>
          <w:color w:val="2E5F8A"/>
          <w:sz w:val="27"/>
          <w:szCs w:val="27"/>
        </w:rPr>
        <w:t>6.9 Report History</w:t>
      </w:r>
    </w:p>
    <w:p w14:paraId="5DBB4FB9">
      <w:pPr>
        <w:spacing w:before="80" w:after="80"/>
      </w:pPr>
      <w:r>
        <w:rPr>
          <w:rFonts w:ascii="Arial" w:hAnsi="Arial" w:eastAsia="Arial" w:cs="Arial"/>
          <w:sz w:val="22"/>
          <w:szCs w:val="22"/>
        </w:rPr>
        <w:t>Authenticated users have access to a report history dashboard showing all previously generated reports. Reports are retained for 30 days from generation date and then permanently deleted. Users can reopen, re-download, or delete individual reports.</w:t>
      </w:r>
    </w:p>
    <w:p w14:paraId="25AF8D68">
      <w:pPr>
        <w:pStyle w:val="16"/>
        <w:numPr>
          <w:ilvl w:val="0"/>
          <w:numId w:val="1"/>
        </w:numPr>
        <w:spacing w:before="60" w:after="60"/>
      </w:pPr>
      <w:r>
        <w:rPr>
          <w:rFonts w:ascii="Arial" w:hAnsi="Arial" w:eastAsia="Arial" w:cs="Arial"/>
          <w:sz w:val="22"/>
          <w:szCs w:val="22"/>
        </w:rPr>
        <w:t>Report list with date, cloud provider, and total estimated savings</w:t>
      </w:r>
    </w:p>
    <w:p w14:paraId="75C18F81">
      <w:pPr>
        <w:pStyle w:val="16"/>
        <w:numPr>
          <w:ilvl w:val="0"/>
          <w:numId w:val="1"/>
        </w:numPr>
        <w:spacing w:before="60" w:after="60"/>
      </w:pPr>
      <w:r>
        <w:rPr>
          <w:rFonts w:ascii="Arial" w:hAnsi="Arial" w:eastAsia="Arial" w:cs="Arial"/>
          <w:sz w:val="22"/>
          <w:szCs w:val="22"/>
        </w:rPr>
        <w:t>30-day retention with automatic deletion</w:t>
      </w:r>
    </w:p>
    <w:p w14:paraId="5D588BE3">
      <w:pPr>
        <w:pStyle w:val="16"/>
        <w:numPr>
          <w:ilvl w:val="0"/>
          <w:numId w:val="1"/>
        </w:numPr>
        <w:spacing w:before="60" w:after="60"/>
      </w:pPr>
      <w:r>
        <w:rPr>
          <w:rFonts w:ascii="Arial" w:hAnsi="Arial" w:eastAsia="Arial" w:cs="Arial"/>
          <w:sz w:val="22"/>
          <w:szCs w:val="22"/>
        </w:rPr>
        <w:t>Manual delete option per report</w:t>
      </w:r>
    </w:p>
    <w:p w14:paraId="6BA0A51A">
      <w:pPr>
        <w:pStyle w:val="16"/>
        <w:numPr>
          <w:ilvl w:val="0"/>
          <w:numId w:val="1"/>
        </w:numPr>
        <w:spacing w:before="60" w:after="60"/>
      </w:pPr>
      <w:r>
        <w:rPr>
          <w:rFonts w:ascii="Arial" w:hAnsi="Arial" w:eastAsia="Arial" w:cs="Arial"/>
          <w:sz w:val="22"/>
          <w:szCs w:val="22"/>
        </w:rPr>
        <w:t>Re-download PDF from history</w:t>
      </w:r>
    </w:p>
    <w:p w14:paraId="25870C92">
      <w:pPr>
        <w:pStyle w:val="3"/>
        <w:spacing w:before="260" w:after="100"/>
      </w:pPr>
      <w:r>
        <w:rPr>
          <w:rFonts w:ascii="Arial" w:hAnsi="Arial" w:eastAsia="Arial" w:cs="Arial"/>
          <w:b/>
          <w:bCs/>
          <w:color w:val="2E5F8A"/>
          <w:sz w:val="27"/>
          <w:szCs w:val="27"/>
        </w:rPr>
        <w:t>6.10 Synthetic Data Generator</w:t>
      </w:r>
    </w:p>
    <w:p w14:paraId="10753BDB">
      <w:pPr>
        <w:spacing w:before="80" w:after="80"/>
      </w:pPr>
      <w:r>
        <w:rPr>
          <w:rFonts w:ascii="Arial" w:hAnsi="Arial" w:eastAsia="Arial" w:cs="Arial"/>
          <w:sz w:val="22"/>
          <w:szCs w:val="22"/>
        </w:rPr>
        <w:t>A built-in synthetic data generator produces realistic AWS, Azure, and GCP billing CSVs for testing and demonstration purposes. Generated data includes realistic service names, usage patterns, cost distributions, and intentional anomalies for the ML engine to detect.</w:t>
      </w:r>
    </w:p>
    <w:p w14:paraId="2EBBBDE3">
      <w:pPr>
        <w:pBdr>
          <w:bottom w:val="single" w:color="CCCCCC" w:sz="4" w:space="1"/>
        </w:pBdr>
        <w:spacing w:before="180" w:after="180"/>
      </w:pPr>
    </w:p>
    <w:p w14:paraId="2D92B353">
      <w:pPr>
        <w:pStyle w:val="2"/>
        <w:spacing w:before="400" w:after="140"/>
      </w:pPr>
      <w:r>
        <w:rPr>
          <w:rFonts w:ascii="Arial" w:hAnsi="Arial" w:eastAsia="Arial" w:cs="Arial"/>
          <w:b/>
          <w:bCs/>
          <w:color w:val="1E3A5F"/>
          <w:sz w:val="34"/>
          <w:szCs w:val="34"/>
        </w:rPr>
        <w:t>7. System Architecture</w:t>
      </w:r>
    </w:p>
    <w:p w14:paraId="160B1CD9">
      <w:pPr>
        <w:pStyle w:val="3"/>
        <w:spacing w:before="260" w:after="100"/>
      </w:pPr>
      <w:r>
        <w:rPr>
          <w:rFonts w:ascii="Arial" w:hAnsi="Arial" w:eastAsia="Arial" w:cs="Arial"/>
          <w:b/>
          <w:bCs/>
          <w:color w:val="2E5F8A"/>
          <w:sz w:val="27"/>
          <w:szCs w:val="27"/>
        </w:rPr>
        <w:t>7.1 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80"/>
        <w:gridCol w:w="4080"/>
      </w:tblGrid>
      <w:tr w14:paraId="25F6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4F2DDBB6">
            <w:r>
              <w:rPr>
                <w:rFonts w:ascii="Arial" w:hAnsi="Arial" w:eastAsia="Arial" w:cs="Arial"/>
                <w:b/>
                <w:bCs/>
                <w:color w:val="FFFFFF"/>
                <w:sz w:val="20"/>
                <w:szCs w:val="20"/>
              </w:rPr>
              <w:t>Layer</w:t>
            </w:r>
          </w:p>
        </w:tc>
        <w:tc>
          <w:tcPr>
            <w:tcW w:w="288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3151E017">
            <w:r>
              <w:rPr>
                <w:rFonts w:ascii="Arial" w:hAnsi="Arial" w:eastAsia="Arial" w:cs="Arial"/>
                <w:b/>
                <w:bCs/>
                <w:color w:val="FFFFFF"/>
                <w:sz w:val="20"/>
                <w:szCs w:val="20"/>
              </w:rPr>
              <w:t>Technology</w:t>
            </w:r>
          </w:p>
        </w:tc>
        <w:tc>
          <w:tcPr>
            <w:tcW w:w="408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779738DC">
            <w:r>
              <w:rPr>
                <w:rFonts w:ascii="Arial" w:hAnsi="Arial" w:eastAsia="Arial" w:cs="Arial"/>
                <w:b/>
                <w:bCs/>
                <w:color w:val="FFFFFF"/>
                <w:sz w:val="20"/>
                <w:szCs w:val="20"/>
              </w:rPr>
              <w:t>Responsibility</w:t>
            </w:r>
          </w:p>
        </w:tc>
      </w:tr>
      <w:tr w14:paraId="2EC57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637A088B">
            <w:r>
              <w:rPr>
                <w:rFonts w:ascii="Arial" w:hAnsi="Arial" w:eastAsia="Arial" w:cs="Arial"/>
                <w:sz w:val="20"/>
                <w:szCs w:val="20"/>
              </w:rPr>
              <w:t>Frontend</w:t>
            </w:r>
          </w:p>
        </w:tc>
        <w:tc>
          <w:tcPr>
            <w:tcW w:w="28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2F1FF9B0">
            <w:r>
              <w:rPr>
                <w:rFonts w:ascii="Arial" w:hAnsi="Arial" w:eastAsia="Arial" w:cs="Arial"/>
                <w:sz w:val="20"/>
                <w:szCs w:val="20"/>
              </w:rPr>
              <w:t>React</w:t>
            </w:r>
          </w:p>
        </w:tc>
        <w:tc>
          <w:tcPr>
            <w:tcW w:w="40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7AD16066">
            <w:r>
              <w:rPr>
                <w:rFonts w:ascii="Arial" w:hAnsi="Arial" w:eastAsia="Arial" w:cs="Arial"/>
                <w:sz w:val="20"/>
                <w:szCs w:val="20"/>
              </w:rPr>
              <w:t>Landing page, auth UI, upload interface, report rendering, PDF download, report history</w:t>
            </w:r>
          </w:p>
        </w:tc>
      </w:tr>
      <w:tr w14:paraId="570D6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77AFCED">
            <w:r>
              <w:rPr>
                <w:rFonts w:ascii="Arial" w:hAnsi="Arial" w:eastAsia="Arial" w:cs="Arial"/>
                <w:sz w:val="20"/>
                <w:szCs w:val="20"/>
              </w:rPr>
              <w:t>Backend</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382955D">
            <w:r>
              <w:rPr>
                <w:rFonts w:ascii="Arial" w:hAnsi="Arial" w:eastAsia="Arial" w:cs="Arial"/>
                <w:sz w:val="20"/>
                <w:szCs w:val="20"/>
              </w:rPr>
              <w:t>FastAPI (Python)</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74DFA8">
            <w:r>
              <w:rPr>
                <w:rFonts w:ascii="Arial" w:hAnsi="Arial" w:eastAsia="Arial" w:cs="Arial"/>
                <w:sz w:val="20"/>
                <w:szCs w:val="20"/>
              </w:rPr>
              <w:t>API routing, authentication, CSV parsing, pipeline orchestration, report storage</w:t>
            </w:r>
          </w:p>
        </w:tc>
      </w:tr>
      <w:tr w14:paraId="1C15C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644D0ACE">
            <w:r>
              <w:rPr>
                <w:rFonts w:ascii="Arial" w:hAnsi="Arial" w:eastAsia="Arial" w:cs="Arial"/>
                <w:sz w:val="20"/>
                <w:szCs w:val="20"/>
              </w:rPr>
              <w:t>ML Engine</w:t>
            </w:r>
          </w:p>
        </w:tc>
        <w:tc>
          <w:tcPr>
            <w:tcW w:w="28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11991DA0">
            <w:r>
              <w:rPr>
                <w:rFonts w:ascii="Arial" w:hAnsi="Arial" w:eastAsia="Arial" w:cs="Arial"/>
                <w:sz w:val="20"/>
                <w:szCs w:val="20"/>
              </w:rPr>
              <w:t>scikit-learn</w:t>
            </w:r>
          </w:p>
        </w:tc>
        <w:tc>
          <w:tcPr>
            <w:tcW w:w="40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4E48A633">
            <w:r>
              <w:rPr>
                <w:rFonts w:ascii="Arial" w:hAnsi="Arial" w:eastAsia="Arial" w:cs="Arial"/>
                <w:sz w:val="20"/>
                <w:szCs w:val="20"/>
              </w:rPr>
              <w:t>Isolation Forest anomaly detection, failure risk scoring</w:t>
            </w:r>
          </w:p>
        </w:tc>
      </w:tr>
      <w:tr w14:paraId="6CE7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D0B54F2">
            <w:r>
              <w:rPr>
                <w:rFonts w:ascii="Arial" w:hAnsi="Arial" w:eastAsia="Arial" w:cs="Arial"/>
                <w:sz w:val="20"/>
                <w:szCs w:val="20"/>
              </w:rPr>
              <w:t>Pattern Engine</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84EA717">
            <w:r>
              <w:rPr>
                <w:rFonts w:ascii="Arial" w:hAnsi="Arial" w:eastAsia="Arial" w:cs="Arial"/>
                <w:sz w:val="20"/>
                <w:szCs w:val="20"/>
              </w:rPr>
              <w:t>JSON + Python</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54EC6E1">
            <w:r>
              <w:rPr>
                <w:rFonts w:ascii="Arial" w:hAnsi="Arial" w:eastAsia="Arial" w:cs="Arial"/>
                <w:sz w:val="20"/>
                <w:szCs w:val="20"/>
              </w:rPr>
              <w:t>30-pattern library matching, ROI calculation, conflict resolution</w:t>
            </w:r>
          </w:p>
        </w:tc>
      </w:tr>
      <w:tr w14:paraId="1F2CC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78D0AEEE">
            <w:r>
              <w:rPr>
                <w:rFonts w:ascii="Arial" w:hAnsi="Arial" w:eastAsia="Arial" w:cs="Arial"/>
                <w:sz w:val="20"/>
                <w:szCs w:val="20"/>
              </w:rPr>
              <w:t>Prescription Renderer</w:t>
            </w:r>
          </w:p>
        </w:tc>
        <w:tc>
          <w:tcPr>
            <w:tcW w:w="28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6536D8AB">
            <w:r>
              <w:rPr>
                <w:rFonts w:ascii="Arial" w:hAnsi="Arial" w:eastAsia="Arial" w:cs="Arial"/>
                <w:sz w:val="20"/>
                <w:szCs w:val="20"/>
              </w:rPr>
              <w:t>Gemini 2.0 Flash API</w:t>
            </w:r>
          </w:p>
        </w:tc>
        <w:tc>
          <w:tcPr>
            <w:tcW w:w="40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20CCACEA">
            <w:r>
              <w:rPr>
                <w:rFonts w:ascii="Arial" w:hAnsi="Arial" w:eastAsia="Arial" w:cs="Arial"/>
                <w:sz w:val="20"/>
                <w:szCs w:val="20"/>
              </w:rPr>
              <w:t>Pattern-to-sprint-ticket text generation in plain language</w:t>
            </w:r>
          </w:p>
        </w:tc>
      </w:tr>
      <w:tr w14:paraId="0CEB1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4DFA43B">
            <w:r>
              <w:rPr>
                <w:rFonts w:ascii="Arial" w:hAnsi="Arial" w:eastAsia="Arial" w:cs="Arial"/>
                <w:sz w:val="20"/>
                <w:szCs w:val="20"/>
              </w:rPr>
              <w:t>Authentication</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0358D29">
            <w:r>
              <w:rPr>
                <w:rFonts w:ascii="Arial" w:hAnsi="Arial" w:eastAsia="Arial" w:cs="Arial"/>
                <w:sz w:val="20"/>
                <w:szCs w:val="20"/>
              </w:rPr>
              <w:t>JWT + Google OAuth</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66D5F5A">
            <w:r>
              <w:rPr>
                <w:rFonts w:ascii="Arial" w:hAnsi="Arial" w:eastAsia="Arial" w:cs="Arial"/>
                <w:sz w:val="20"/>
                <w:szCs w:val="20"/>
              </w:rPr>
              <w:t>Session management, user identity, route protection</w:t>
            </w:r>
          </w:p>
        </w:tc>
      </w:tr>
      <w:tr w14:paraId="18901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1D4A1210">
            <w:r>
              <w:rPr>
                <w:rFonts w:ascii="Arial" w:hAnsi="Arial" w:eastAsia="Arial" w:cs="Arial"/>
                <w:sz w:val="20"/>
                <w:szCs w:val="20"/>
              </w:rPr>
              <w:t>Database</w:t>
            </w:r>
          </w:p>
        </w:tc>
        <w:tc>
          <w:tcPr>
            <w:tcW w:w="28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3DDD8C2B">
            <w:r>
              <w:rPr>
                <w:rFonts w:ascii="Arial" w:hAnsi="Arial" w:eastAsia="Arial" w:cs="Arial"/>
                <w:sz w:val="20"/>
                <w:szCs w:val="20"/>
              </w:rPr>
              <w:t>PostgreSQL</w:t>
            </w:r>
          </w:p>
        </w:tc>
        <w:tc>
          <w:tcPr>
            <w:tcW w:w="40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3BFF56C3">
            <w:r>
              <w:rPr>
                <w:rFonts w:ascii="Arial" w:hAnsi="Arial" w:eastAsia="Arial" w:cs="Arial"/>
                <w:sz w:val="20"/>
                <w:szCs w:val="20"/>
              </w:rPr>
              <w:t>User accounts, report metadata, session tokens</w:t>
            </w:r>
          </w:p>
        </w:tc>
      </w:tr>
      <w:tr w14:paraId="03AFA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9F11E08">
            <w:r>
              <w:rPr>
                <w:rFonts w:ascii="Arial" w:hAnsi="Arial" w:eastAsia="Arial" w:cs="Arial"/>
                <w:sz w:val="20"/>
                <w:szCs w:val="20"/>
              </w:rPr>
              <w:t>File Storage</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7346740">
            <w:r>
              <w:rPr>
                <w:rFonts w:ascii="Arial" w:hAnsi="Arial" w:eastAsia="Arial" w:cs="Arial"/>
                <w:sz w:val="20"/>
                <w:szCs w:val="20"/>
              </w:rPr>
              <w:t>Local filesystem (dev) / S3-compatible (prod)</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9D779E9">
            <w:r>
              <w:rPr>
                <w:rFonts w:ascii="Arial" w:hAnsi="Arial" w:eastAsia="Arial" w:cs="Arial"/>
                <w:sz w:val="20"/>
                <w:szCs w:val="20"/>
              </w:rPr>
              <w:t>CSV uploads, generated PDF reports</w:t>
            </w:r>
          </w:p>
        </w:tc>
      </w:tr>
      <w:tr w14:paraId="3CEA6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23C58505">
            <w:r>
              <w:rPr>
                <w:rFonts w:ascii="Arial" w:hAnsi="Arial" w:eastAsia="Arial" w:cs="Arial"/>
                <w:sz w:val="20"/>
                <w:szCs w:val="20"/>
              </w:rPr>
              <w:t>PDF Generation</w:t>
            </w:r>
          </w:p>
        </w:tc>
        <w:tc>
          <w:tcPr>
            <w:tcW w:w="28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70760B29">
            <w:r>
              <w:rPr>
                <w:rFonts w:ascii="Arial" w:hAnsi="Arial" w:eastAsia="Arial" w:cs="Arial"/>
                <w:sz w:val="20"/>
                <w:szCs w:val="20"/>
              </w:rPr>
              <w:t>ReportLab (Python)</w:t>
            </w:r>
          </w:p>
        </w:tc>
        <w:tc>
          <w:tcPr>
            <w:tcW w:w="408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26198F99">
            <w:r>
              <w:rPr>
                <w:rFonts w:ascii="Arial" w:hAnsi="Arial" w:eastAsia="Arial" w:cs="Arial"/>
                <w:sz w:val="20"/>
                <w:szCs w:val="20"/>
              </w:rPr>
              <w:t>Professional PDF export of prescription reports</w:t>
            </w:r>
          </w:p>
        </w:tc>
      </w:tr>
    </w:tbl>
    <w:p w14:paraId="7C70F274">
      <w:pPr>
        <w:pStyle w:val="3"/>
        <w:spacing w:before="260" w:after="100"/>
      </w:pPr>
      <w:r>
        <w:rPr>
          <w:rFonts w:ascii="Arial" w:hAnsi="Arial" w:eastAsia="Arial" w:cs="Arial"/>
          <w:b/>
          <w:bCs/>
          <w:color w:val="2E5F8A"/>
          <w:sz w:val="27"/>
          <w:szCs w:val="27"/>
        </w:rPr>
        <w:t>7.2 Project Folder Structure</w:t>
      </w:r>
    </w:p>
    <w:p w14:paraId="32E176D7">
      <w:pPr>
        <w:spacing w:before="80" w:after="80"/>
      </w:pPr>
      <w:r>
        <w:rPr>
          <w:rFonts w:ascii="Arial" w:hAnsi="Arial" w:eastAsia="Arial" w:cs="Arial"/>
          <w:sz w:val="22"/>
          <w:szCs w:val="22"/>
        </w:rPr>
        <w:t>cliprx/</w:t>
      </w:r>
    </w:p>
    <w:p w14:paraId="7E6AEF90">
      <w:pPr>
        <w:pStyle w:val="16"/>
        <w:numPr>
          <w:ilvl w:val="0"/>
          <w:numId w:val="1"/>
        </w:numPr>
        <w:spacing w:before="60" w:after="60"/>
      </w:pPr>
      <w:r>
        <w:rPr>
          <w:rFonts w:ascii="Arial" w:hAnsi="Arial" w:eastAsia="Arial" w:cs="Arial"/>
          <w:sz w:val="22"/>
          <w:szCs w:val="22"/>
        </w:rPr>
        <w:t>frontend/  — React application</w:t>
      </w:r>
    </w:p>
    <w:p w14:paraId="1713F489">
      <w:pPr>
        <w:pStyle w:val="16"/>
        <w:numPr>
          <w:ilvl w:val="0"/>
          <w:numId w:val="1"/>
        </w:numPr>
        <w:spacing w:before="60" w:after="60"/>
      </w:pPr>
      <w:r>
        <w:rPr>
          <w:rFonts w:ascii="Arial" w:hAnsi="Arial" w:eastAsia="Arial" w:cs="Arial"/>
          <w:sz w:val="22"/>
          <w:szCs w:val="22"/>
        </w:rPr>
        <w:t>backend/  — FastAPI application</w:t>
      </w:r>
    </w:p>
    <w:p w14:paraId="4866EDB6">
      <w:pPr>
        <w:pStyle w:val="16"/>
        <w:numPr>
          <w:ilvl w:val="0"/>
          <w:numId w:val="1"/>
        </w:numPr>
        <w:spacing w:before="60" w:after="60"/>
      </w:pPr>
      <w:r>
        <w:rPr>
          <w:rFonts w:ascii="Arial" w:hAnsi="Arial" w:eastAsia="Arial" w:cs="Arial"/>
          <w:sz w:val="22"/>
          <w:szCs w:val="22"/>
        </w:rPr>
        <w:t xml:space="preserve">  api/  — route handlers</w:t>
      </w:r>
    </w:p>
    <w:p w14:paraId="720C6560">
      <w:pPr>
        <w:pStyle w:val="16"/>
        <w:numPr>
          <w:ilvl w:val="0"/>
          <w:numId w:val="1"/>
        </w:numPr>
        <w:spacing w:before="60" w:after="60"/>
      </w:pPr>
      <w:r>
        <w:rPr>
          <w:rFonts w:ascii="Arial" w:hAnsi="Arial" w:eastAsia="Arial" w:cs="Arial"/>
          <w:sz w:val="22"/>
          <w:szCs w:val="22"/>
        </w:rPr>
        <w:t xml:space="preserve">  ml/  — Isolation Forest and failure scoring</w:t>
      </w:r>
    </w:p>
    <w:p w14:paraId="44B8AD59">
      <w:pPr>
        <w:pStyle w:val="16"/>
        <w:numPr>
          <w:ilvl w:val="0"/>
          <w:numId w:val="1"/>
        </w:numPr>
        <w:spacing w:before="60" w:after="60"/>
      </w:pPr>
      <w:r>
        <w:rPr>
          <w:rFonts w:ascii="Arial" w:hAnsi="Arial" w:eastAsia="Arial" w:cs="Arial"/>
          <w:sz w:val="22"/>
          <w:szCs w:val="22"/>
        </w:rPr>
        <w:t xml:space="preserve">  patterns/  — JSON pattern library</w:t>
      </w:r>
    </w:p>
    <w:p w14:paraId="3B29F3AC">
      <w:pPr>
        <w:pStyle w:val="16"/>
        <w:numPr>
          <w:ilvl w:val="0"/>
          <w:numId w:val="1"/>
        </w:numPr>
        <w:spacing w:before="60" w:after="60"/>
      </w:pPr>
      <w:r>
        <w:rPr>
          <w:rFonts w:ascii="Arial" w:hAnsi="Arial" w:eastAsia="Arial" w:cs="Arial"/>
          <w:sz w:val="22"/>
          <w:szCs w:val="22"/>
        </w:rPr>
        <w:t xml:space="preserve">  parsers/  — AWS, Azure, GCP CSV parsers</w:t>
      </w:r>
    </w:p>
    <w:p w14:paraId="16C30046">
      <w:pPr>
        <w:pStyle w:val="16"/>
        <w:numPr>
          <w:ilvl w:val="0"/>
          <w:numId w:val="1"/>
        </w:numPr>
        <w:spacing w:before="60" w:after="60"/>
      </w:pPr>
      <w:r>
        <w:rPr>
          <w:rFonts w:ascii="Arial" w:hAnsi="Arial" w:eastAsia="Arial" w:cs="Arial"/>
          <w:sz w:val="22"/>
          <w:szCs w:val="22"/>
        </w:rPr>
        <w:t xml:space="preserve">  services/  — Gemini API integration, PDF generation</w:t>
      </w:r>
    </w:p>
    <w:p w14:paraId="71AFFB96">
      <w:pPr>
        <w:pStyle w:val="16"/>
        <w:numPr>
          <w:ilvl w:val="0"/>
          <w:numId w:val="1"/>
        </w:numPr>
        <w:spacing w:before="60" w:after="60"/>
      </w:pPr>
      <w:r>
        <w:rPr>
          <w:rFonts w:ascii="Arial" w:hAnsi="Arial" w:eastAsia="Arial" w:cs="Arial"/>
          <w:sz w:val="22"/>
          <w:szCs w:val="22"/>
        </w:rPr>
        <w:t xml:space="preserve">  db/  — PostgreSQL models and migrations</w:t>
      </w:r>
    </w:p>
    <w:p w14:paraId="159D629A">
      <w:pPr>
        <w:pStyle w:val="16"/>
        <w:numPr>
          <w:ilvl w:val="0"/>
          <w:numId w:val="1"/>
        </w:numPr>
        <w:spacing w:before="60" w:after="60"/>
      </w:pPr>
      <w:r>
        <w:rPr>
          <w:rFonts w:ascii="Arial" w:hAnsi="Arial" w:eastAsia="Arial" w:cs="Arial"/>
          <w:sz w:val="22"/>
          <w:szCs w:val="22"/>
        </w:rPr>
        <w:t>data/  — synthetic data generator and sample CSVs</w:t>
      </w:r>
    </w:p>
    <w:p w14:paraId="746AEBAA">
      <w:pPr>
        <w:pStyle w:val="16"/>
        <w:numPr>
          <w:ilvl w:val="0"/>
          <w:numId w:val="1"/>
        </w:numPr>
        <w:spacing w:before="60" w:after="60"/>
      </w:pPr>
      <w:r>
        <w:rPr>
          <w:rFonts w:ascii="Arial" w:hAnsi="Arial" w:eastAsia="Arial" w:cs="Arial"/>
          <w:sz w:val="22"/>
          <w:szCs w:val="22"/>
        </w:rPr>
        <w:t>docs/  — PRD, TRD, architecture diagrams</w:t>
      </w:r>
    </w:p>
    <w:p w14:paraId="79FB0547">
      <w:pPr>
        <w:pStyle w:val="16"/>
        <w:numPr>
          <w:ilvl w:val="0"/>
          <w:numId w:val="1"/>
        </w:numPr>
        <w:spacing w:before="60" w:after="60"/>
      </w:pPr>
      <w:r>
        <w:rPr>
          <w:rFonts w:ascii="Arial" w:hAnsi="Arial" w:eastAsia="Arial" w:cs="Arial"/>
          <w:sz w:val="22"/>
          <w:szCs w:val="22"/>
        </w:rPr>
        <w:t>README.md</w:t>
      </w:r>
    </w:p>
    <w:p w14:paraId="679EC6A9">
      <w:pPr>
        <w:pBdr>
          <w:bottom w:val="single" w:color="CCCCCC" w:sz="4" w:space="1"/>
        </w:pBdr>
        <w:spacing w:before="180" w:after="180"/>
      </w:pPr>
    </w:p>
    <w:p w14:paraId="445D795A">
      <w:pPr>
        <w:pStyle w:val="2"/>
        <w:spacing w:before="400" w:after="140"/>
      </w:pPr>
      <w:r>
        <w:rPr>
          <w:rFonts w:ascii="Arial" w:hAnsi="Arial" w:eastAsia="Arial" w:cs="Arial"/>
          <w:b/>
          <w:bCs/>
          <w:color w:val="1E3A5F"/>
          <w:sz w:val="34"/>
          <w:szCs w:val="34"/>
        </w:rPr>
        <w:t>8. DIPPA Framework Application</w:t>
      </w:r>
    </w:p>
    <w:p w14:paraId="51C6A95B">
      <w:pPr>
        <w:spacing w:before="80" w:after="80"/>
      </w:pPr>
      <w:r>
        <w:rPr>
          <w:rFonts w:ascii="Arial" w:hAnsi="Arial" w:eastAsia="Arial" w:cs="Arial"/>
          <w:sz w:val="22"/>
          <w:szCs w:val="22"/>
        </w:rPr>
        <w:t>CliPRx is a full real-world implementation of the DIPPA framework — a five-layer prescriptive ML pipeline originally developed for sales performance optimization, here adapted for cloud infrastructure cost intelligence.</w:t>
      </w:r>
    </w:p>
    <w:p w14:paraId="647BDDF1">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4760"/>
      </w:tblGrid>
      <w:tr w14:paraId="7E0CA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6C862182">
            <w:r>
              <w:rPr>
                <w:rFonts w:ascii="Arial" w:hAnsi="Arial" w:eastAsia="Arial" w:cs="Arial"/>
                <w:b/>
                <w:bCs/>
                <w:color w:val="FFFFFF"/>
                <w:sz w:val="20"/>
                <w:szCs w:val="20"/>
              </w:rPr>
              <w:t>DIPPA Layer</w:t>
            </w:r>
          </w:p>
        </w:tc>
        <w:tc>
          <w:tcPr>
            <w:tcW w:w="28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3B26136F">
            <w:r>
              <w:rPr>
                <w:rFonts w:ascii="Arial" w:hAnsi="Arial" w:eastAsia="Arial" w:cs="Arial"/>
                <w:b/>
                <w:bCs/>
                <w:color w:val="FFFFFF"/>
                <w:sz w:val="20"/>
                <w:szCs w:val="20"/>
              </w:rPr>
              <w:t>CliPRx Implementation</w:t>
            </w:r>
          </w:p>
        </w:tc>
        <w:tc>
          <w:tcPr>
            <w:tcW w:w="476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0651B662">
            <w:r>
              <w:rPr>
                <w:rFonts w:ascii="Arial" w:hAnsi="Arial" w:eastAsia="Arial" w:cs="Arial"/>
                <w:b/>
                <w:bCs/>
                <w:color w:val="FFFFFF"/>
                <w:sz w:val="20"/>
                <w:szCs w:val="20"/>
              </w:rPr>
              <w:t>Output</w:t>
            </w:r>
          </w:p>
        </w:tc>
      </w:tr>
      <w:tr w14:paraId="0A068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373B2DEF">
            <w:r>
              <w:rPr>
                <w:rFonts w:ascii="Arial" w:hAnsi="Arial" w:eastAsia="Arial" w:cs="Arial"/>
                <w:sz w:val="20"/>
                <w:szCs w:val="20"/>
              </w:rPr>
              <w:t>Data Ingestion</w:t>
            </w:r>
          </w:p>
        </w:tc>
        <w:tc>
          <w:tcPr>
            <w:tcW w:w="2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7CC16EAC">
            <w:r>
              <w:rPr>
                <w:rFonts w:ascii="Arial" w:hAnsi="Arial" w:eastAsia="Arial" w:cs="Arial"/>
                <w:sz w:val="20"/>
                <w:szCs w:val="20"/>
              </w:rPr>
              <w:t>Multi-cloud CSV parsers with schema validation</w:t>
            </w:r>
          </w:p>
        </w:tc>
        <w:tc>
          <w:tcPr>
            <w:tcW w:w="4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132444E3">
            <w:r>
              <w:rPr>
                <w:rFonts w:ascii="Arial" w:hAnsi="Arial" w:eastAsia="Arial" w:cs="Arial"/>
                <w:sz w:val="20"/>
                <w:szCs w:val="20"/>
              </w:rPr>
              <w:t>Structured service-cost-usage dataframe per cloud provider</w:t>
            </w:r>
          </w:p>
        </w:tc>
      </w:tr>
      <w:tr w14:paraId="46C70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95D5C1">
            <w:r>
              <w:rPr>
                <w:rFonts w:ascii="Arial" w:hAnsi="Arial" w:eastAsia="Arial" w:cs="Arial"/>
                <w:sz w:val="20"/>
                <w:szCs w:val="20"/>
              </w:rPr>
              <w:t>Intelligent Preprocessing</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A9E0B5">
            <w:r>
              <w:rPr>
                <w:rFonts w:ascii="Arial" w:hAnsi="Arial" w:eastAsia="Arial" w:cs="Arial"/>
                <w:sz w:val="20"/>
                <w:szCs w:val="20"/>
              </w:rPr>
              <w:t>Essential services declaration + three-tier feature classifier</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ED748FD">
            <w:r>
              <w:rPr>
                <w:rFonts w:ascii="Arial" w:hAnsi="Arial" w:eastAsia="Arial" w:cs="Arial"/>
                <w:sz w:val="20"/>
                <w:szCs w:val="20"/>
              </w:rPr>
              <w:t>Immutable / hybrid / actionable labels per service</w:t>
            </w:r>
          </w:p>
        </w:tc>
      </w:tr>
      <w:tr w14:paraId="6F307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664CB8E3">
            <w:r>
              <w:rPr>
                <w:rFonts w:ascii="Arial" w:hAnsi="Arial" w:eastAsia="Arial" w:cs="Arial"/>
                <w:sz w:val="20"/>
                <w:szCs w:val="20"/>
              </w:rPr>
              <w:t>Predictive Modeling</w:t>
            </w:r>
          </w:p>
        </w:tc>
        <w:tc>
          <w:tcPr>
            <w:tcW w:w="2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48E7E29B">
            <w:r>
              <w:rPr>
                <w:rFonts w:ascii="Arial" w:hAnsi="Arial" w:eastAsia="Arial" w:cs="Arial"/>
                <w:sz w:val="20"/>
                <w:szCs w:val="20"/>
              </w:rPr>
              <w:t>Isolation Forest anomaly detection + load-based failure scoring</w:t>
            </w:r>
          </w:p>
        </w:tc>
        <w:tc>
          <w:tcPr>
            <w:tcW w:w="4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0A85B863">
            <w:r>
              <w:rPr>
                <w:rFonts w:ascii="Arial" w:hAnsi="Arial" w:eastAsia="Arial" w:cs="Arial"/>
                <w:sz w:val="20"/>
                <w:szCs w:val="20"/>
              </w:rPr>
              <w:t>Anomaly scores and risk labels per flagged service</w:t>
            </w:r>
          </w:p>
        </w:tc>
      </w:tr>
      <w:tr w14:paraId="7F834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9DC6A0C">
            <w:r>
              <w:rPr>
                <w:rFonts w:ascii="Arial" w:hAnsi="Arial" w:eastAsia="Arial" w:cs="Arial"/>
                <w:sz w:val="20"/>
                <w:szCs w:val="20"/>
              </w:rPr>
              <w:t>Performance Analytics</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099DAC">
            <w:r>
              <w:rPr>
                <w:rFonts w:ascii="Arial" w:hAnsi="Arial" w:eastAsia="Arial" w:cs="Arial"/>
                <w:sz w:val="20"/>
                <w:szCs w:val="20"/>
              </w:rPr>
              <w:t>Pattern library matching + conflict resolution layer</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05485BA">
            <w:r>
              <w:rPr>
                <w:rFonts w:ascii="Arial" w:hAnsi="Arial" w:eastAsia="Arial" w:cs="Arial"/>
                <w:sz w:val="20"/>
                <w:szCs w:val="20"/>
              </w:rPr>
              <w:t>ROI-ranked action list with conflict flags</w:t>
            </w:r>
          </w:p>
        </w:tc>
      </w:tr>
      <w:tr w14:paraId="1419A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76021546">
            <w:r>
              <w:rPr>
                <w:rFonts w:ascii="Arial" w:hAnsi="Arial" w:eastAsia="Arial" w:cs="Arial"/>
                <w:sz w:val="20"/>
                <w:szCs w:val="20"/>
              </w:rPr>
              <w:t>Actionable Insights</w:t>
            </w:r>
          </w:p>
        </w:tc>
        <w:tc>
          <w:tcPr>
            <w:tcW w:w="2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2BFEF60E">
            <w:r>
              <w:rPr>
                <w:rFonts w:ascii="Arial" w:hAnsi="Arial" w:eastAsia="Arial" w:cs="Arial"/>
                <w:sz w:val="20"/>
                <w:szCs w:val="20"/>
              </w:rPr>
              <w:t>Gemini 2.0 Flash prescription renderer</w:t>
            </w:r>
          </w:p>
        </w:tc>
        <w:tc>
          <w:tcPr>
            <w:tcW w:w="4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2427155D">
            <w:r>
              <w:rPr>
                <w:rFonts w:ascii="Arial" w:hAnsi="Arial" w:eastAsia="Arial" w:cs="Arial"/>
                <w:sz w:val="20"/>
                <w:szCs w:val="20"/>
              </w:rPr>
              <w:t>Plain-language sprint tickets ready for DevOps backlog</w:t>
            </w:r>
          </w:p>
        </w:tc>
      </w:tr>
    </w:tbl>
    <w:p w14:paraId="410D46F2">
      <w:pPr>
        <w:pBdr>
          <w:bottom w:val="single" w:color="CCCCCC" w:sz="4" w:space="1"/>
        </w:pBdr>
        <w:spacing w:before="180" w:after="180"/>
      </w:pPr>
    </w:p>
    <w:p w14:paraId="049E3958">
      <w:pPr>
        <w:pStyle w:val="2"/>
        <w:spacing w:before="400" w:after="140"/>
      </w:pPr>
      <w:r>
        <w:rPr>
          <w:rFonts w:ascii="Arial" w:hAnsi="Arial" w:eastAsia="Arial" w:cs="Arial"/>
          <w:b/>
          <w:bCs/>
          <w:color w:val="1E3A5F"/>
          <w:sz w:val="34"/>
          <w:szCs w:val="34"/>
        </w:rPr>
        <w:t>9. Constraints and Assumptions</w:t>
      </w:r>
    </w:p>
    <w:p w14:paraId="7C4877B6">
      <w:pPr>
        <w:pStyle w:val="3"/>
        <w:spacing w:before="260" w:after="100"/>
      </w:pPr>
      <w:r>
        <w:rPr>
          <w:rFonts w:ascii="Arial" w:hAnsi="Arial" w:eastAsia="Arial" w:cs="Arial"/>
          <w:b/>
          <w:bCs/>
          <w:color w:val="2E5F8A"/>
          <w:sz w:val="27"/>
          <w:szCs w:val="27"/>
        </w:rPr>
        <w:t>9.1 Constraints</w:t>
      </w:r>
    </w:p>
    <w:p w14:paraId="2F11F57D">
      <w:pPr>
        <w:pStyle w:val="16"/>
        <w:numPr>
          <w:ilvl w:val="0"/>
          <w:numId w:val="1"/>
        </w:numPr>
        <w:spacing w:before="60" w:after="60"/>
      </w:pPr>
      <w:r>
        <w:rPr>
          <w:rFonts w:ascii="Arial" w:hAnsi="Arial" w:eastAsia="Arial" w:cs="Arial"/>
          <w:sz w:val="22"/>
          <w:szCs w:val="22"/>
        </w:rPr>
        <w:t>Pattern library is system-defined only in current version. User-editable patterns are a documented future roadmap item.</w:t>
      </w:r>
    </w:p>
    <w:p w14:paraId="0F340D4F">
      <w:pPr>
        <w:pStyle w:val="16"/>
        <w:numPr>
          <w:ilvl w:val="0"/>
          <w:numId w:val="1"/>
        </w:numPr>
        <w:spacing w:before="60" w:after="60"/>
      </w:pPr>
      <w:r>
        <w:rPr>
          <w:rFonts w:ascii="Arial" w:hAnsi="Arial" w:eastAsia="Arial" w:cs="Arial"/>
          <w:sz w:val="22"/>
          <w:szCs w:val="22"/>
        </w:rPr>
        <w:t>Report retention is hard-capped at 30 days with no extension option in current version.</w:t>
      </w:r>
    </w:p>
    <w:p w14:paraId="604331BA">
      <w:pPr>
        <w:pStyle w:val="16"/>
        <w:numPr>
          <w:ilvl w:val="0"/>
          <w:numId w:val="1"/>
        </w:numPr>
        <w:spacing w:before="60" w:after="60"/>
      </w:pPr>
      <w:r>
        <w:rPr>
          <w:rFonts w:ascii="Arial" w:hAnsi="Arial" w:eastAsia="Arial" w:cs="Arial"/>
          <w:sz w:val="22"/>
          <w:szCs w:val="22"/>
        </w:rPr>
        <w:t>Gemini 2.0 Flash free tier rate limits apply. Not designed for high concurrent user load.</w:t>
      </w:r>
    </w:p>
    <w:p w14:paraId="73F9F3D5">
      <w:pPr>
        <w:pStyle w:val="16"/>
        <w:numPr>
          <w:ilvl w:val="0"/>
          <w:numId w:val="1"/>
        </w:numPr>
        <w:spacing w:before="60" w:after="60"/>
      </w:pPr>
      <w:r>
        <w:rPr>
          <w:rFonts w:ascii="Arial" w:hAnsi="Arial" w:eastAsia="Arial" w:cs="Arial"/>
          <w:sz w:val="22"/>
          <w:szCs w:val="22"/>
        </w:rPr>
        <w:t>Savings estimates are range-based from pattern library, not dynamically calculated from live cloud pricing APIs.</w:t>
      </w:r>
    </w:p>
    <w:p w14:paraId="6DEEEBEA">
      <w:pPr>
        <w:pStyle w:val="16"/>
        <w:numPr>
          <w:ilvl w:val="0"/>
          <w:numId w:val="1"/>
        </w:numPr>
        <w:spacing w:before="60" w:after="60"/>
      </w:pPr>
      <w:r>
        <w:rPr>
          <w:rFonts w:ascii="Arial" w:hAnsi="Arial" w:eastAsia="Arial" w:cs="Arial"/>
          <w:sz w:val="22"/>
          <w:szCs w:val="22"/>
        </w:rPr>
        <w:t>No automated implementation of recommendations. CliPRx prescribes only — execution is manual.</w:t>
      </w:r>
    </w:p>
    <w:p w14:paraId="75DA75ED">
      <w:pPr>
        <w:pStyle w:val="3"/>
        <w:spacing w:before="260" w:after="100"/>
      </w:pPr>
      <w:r>
        <w:rPr>
          <w:rFonts w:ascii="Arial" w:hAnsi="Arial" w:eastAsia="Arial" w:cs="Arial"/>
          <w:b/>
          <w:bCs/>
          <w:color w:val="2E5F8A"/>
          <w:sz w:val="27"/>
          <w:szCs w:val="27"/>
        </w:rPr>
        <w:t>9.2 Assumptions</w:t>
      </w:r>
    </w:p>
    <w:p w14:paraId="55407951">
      <w:pPr>
        <w:pStyle w:val="16"/>
        <w:numPr>
          <w:ilvl w:val="0"/>
          <w:numId w:val="1"/>
        </w:numPr>
        <w:spacing w:before="60" w:after="60"/>
      </w:pPr>
      <w:r>
        <w:rPr>
          <w:rFonts w:ascii="Arial" w:hAnsi="Arial" w:eastAsia="Arial" w:cs="Arial"/>
          <w:sz w:val="22"/>
          <w:szCs w:val="22"/>
        </w:rPr>
        <w:t>Users have access to billing export CSVs from their cloud provider accounts.</w:t>
      </w:r>
    </w:p>
    <w:p w14:paraId="1186F30A">
      <w:pPr>
        <w:pStyle w:val="16"/>
        <w:numPr>
          <w:ilvl w:val="0"/>
          <w:numId w:val="1"/>
        </w:numPr>
        <w:spacing w:before="60" w:after="60"/>
      </w:pPr>
      <w:r>
        <w:rPr>
          <w:rFonts w:ascii="Arial" w:hAnsi="Arial" w:eastAsia="Arial" w:cs="Arial"/>
          <w:sz w:val="22"/>
          <w:szCs w:val="22"/>
        </w:rPr>
        <w:t>Savings estimates within plus or minus 25 percent of actual are acceptable for V1 credibility.</w:t>
      </w:r>
    </w:p>
    <w:p w14:paraId="467FAE89">
      <w:pPr>
        <w:pStyle w:val="16"/>
        <w:numPr>
          <w:ilvl w:val="0"/>
          <w:numId w:val="1"/>
        </w:numPr>
        <w:spacing w:before="60" w:after="60"/>
      </w:pPr>
      <w:r>
        <w:rPr>
          <w:rFonts w:ascii="Arial" w:hAnsi="Arial" w:eastAsia="Arial" w:cs="Arial"/>
          <w:sz w:val="22"/>
          <w:szCs w:val="22"/>
        </w:rPr>
        <w:t>PostgreSQL is available in the deployment environment.</w:t>
      </w:r>
    </w:p>
    <w:p w14:paraId="0993466A">
      <w:pPr>
        <w:pStyle w:val="16"/>
        <w:numPr>
          <w:ilvl w:val="0"/>
          <w:numId w:val="1"/>
        </w:numPr>
        <w:spacing w:before="60" w:after="60"/>
      </w:pPr>
      <w:r>
        <w:rPr>
          <w:rFonts w:ascii="Arial" w:hAnsi="Arial" w:eastAsia="Arial" w:cs="Arial"/>
          <w:sz w:val="22"/>
          <w:szCs w:val="22"/>
        </w:rPr>
        <w:t>Gemini API key is available via Google AI Studio at no cost under free tier limits.</w:t>
      </w:r>
    </w:p>
    <w:p w14:paraId="3827C4B2">
      <w:pPr>
        <w:pBdr>
          <w:bottom w:val="single" w:color="CCCCCC" w:sz="4" w:space="1"/>
        </w:pBdr>
        <w:spacing w:before="180" w:after="180"/>
      </w:pPr>
    </w:p>
    <w:p w14:paraId="5391B6F2">
      <w:pPr>
        <w:pStyle w:val="2"/>
        <w:spacing w:before="400" w:after="140"/>
      </w:pPr>
      <w:r>
        <w:rPr>
          <w:rFonts w:ascii="Arial" w:hAnsi="Arial" w:eastAsia="Arial" w:cs="Arial"/>
          <w:b/>
          <w:bCs/>
          <w:color w:val="1E3A5F"/>
          <w:sz w:val="34"/>
          <w:szCs w:val="34"/>
        </w:rPr>
        <w:t>10. Risks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4760"/>
      </w:tblGrid>
      <w:tr w14:paraId="48A20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787ABDB2">
            <w:r>
              <w:rPr>
                <w:rFonts w:ascii="Arial" w:hAnsi="Arial" w:eastAsia="Arial" w:cs="Arial"/>
                <w:b/>
                <w:bCs/>
                <w:color w:val="FFFFFF"/>
                <w:sz w:val="20"/>
                <w:szCs w:val="20"/>
              </w:rPr>
              <w:t>Risk</w:t>
            </w:r>
          </w:p>
        </w:tc>
        <w:tc>
          <w:tcPr>
            <w:tcW w:w="18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0036704B">
            <w:r>
              <w:rPr>
                <w:rFonts w:ascii="Arial" w:hAnsi="Arial" w:eastAsia="Arial" w:cs="Arial"/>
                <w:b/>
                <w:bCs/>
                <w:color w:val="FFFFFF"/>
                <w:sz w:val="20"/>
                <w:szCs w:val="20"/>
              </w:rPr>
              <w:t>Severity</w:t>
            </w:r>
          </w:p>
        </w:tc>
        <w:tc>
          <w:tcPr>
            <w:tcW w:w="476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0D475B48">
            <w:r>
              <w:rPr>
                <w:rFonts w:ascii="Arial" w:hAnsi="Arial" w:eastAsia="Arial" w:cs="Arial"/>
                <w:b/>
                <w:bCs/>
                <w:color w:val="FFFFFF"/>
                <w:sz w:val="20"/>
                <w:szCs w:val="20"/>
              </w:rPr>
              <w:t>Mitigation</w:t>
            </w:r>
          </w:p>
        </w:tc>
      </w:tr>
      <w:tr w14:paraId="0904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79147B8B">
            <w:r>
              <w:rPr>
                <w:rFonts w:ascii="Arial" w:hAnsi="Arial" w:eastAsia="Arial" w:cs="Arial"/>
                <w:sz w:val="20"/>
                <w:szCs w:val="20"/>
              </w:rPr>
              <w:t>Generic prescription output fails credibility</w:t>
            </w:r>
          </w:p>
        </w:tc>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56842755">
            <w:r>
              <w:rPr>
                <w:rFonts w:ascii="Arial" w:hAnsi="Arial" w:eastAsia="Arial" w:cs="Arial"/>
                <w:sz w:val="20"/>
                <w:szCs w:val="20"/>
              </w:rPr>
              <w:t>High</w:t>
            </w:r>
          </w:p>
        </w:tc>
        <w:tc>
          <w:tcPr>
            <w:tcW w:w="4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2FDA9AAB">
            <w:r>
              <w:rPr>
                <w:rFonts w:ascii="Arial" w:hAnsi="Arial" w:eastAsia="Arial" w:cs="Arial"/>
                <w:sz w:val="20"/>
                <w:szCs w:val="20"/>
              </w:rPr>
              <w:t>Pattern library is built and validated before any code is written. Quality of patterns is the product.</w:t>
            </w:r>
          </w:p>
        </w:tc>
      </w:tr>
      <w:tr w14:paraId="7D6A2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6962316">
            <w:r>
              <w:rPr>
                <w:rFonts w:ascii="Arial" w:hAnsi="Arial" w:eastAsia="Arial" w:cs="Arial"/>
                <w:sz w:val="20"/>
                <w:szCs w:val="20"/>
              </w:rPr>
              <w:t>CSV schema variance across cloud account types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F376DB5">
            <w:r>
              <w:rPr>
                <w:rFonts w:ascii="Arial" w:hAnsi="Arial" w:eastAsia="Arial" w:cs="Arial"/>
                <w:sz w:val="20"/>
                <w:szCs w:val="20"/>
              </w:rPr>
              <w:t>High</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7452010">
            <w:r>
              <w:rPr>
                <w:rFonts w:ascii="Arial" w:hAnsi="Arial" w:eastAsia="Arial" w:cs="Arial"/>
                <w:sz w:val="20"/>
                <w:szCs w:val="20"/>
              </w:rPr>
              <w:t>Build and test each parser against minimum three different real-format CSV samples before finalizing.</w:t>
            </w:r>
          </w:p>
        </w:tc>
      </w:tr>
      <w:tr w14:paraId="6BE94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5120D4FC">
            <w:r>
              <w:rPr>
                <w:rFonts w:ascii="Arial" w:hAnsi="Arial" w:eastAsia="Arial" w:cs="Arial"/>
                <w:sz w:val="20"/>
                <w:szCs w:val="20"/>
              </w:rPr>
              <w:t>Conflict resolution over-deprioritizes recommendations</w:t>
            </w:r>
          </w:p>
        </w:tc>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1C56FB02">
            <w:r>
              <w:rPr>
                <w:rFonts w:ascii="Arial" w:hAnsi="Arial" w:eastAsia="Arial" w:cs="Arial"/>
                <w:sz w:val="20"/>
                <w:szCs w:val="20"/>
              </w:rPr>
              <w:t>Medium</w:t>
            </w:r>
          </w:p>
        </w:tc>
        <w:tc>
          <w:tcPr>
            <w:tcW w:w="4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2DC74436">
            <w:r>
              <w:rPr>
                <w:rFonts w:ascii="Arial" w:hAnsi="Arial" w:eastAsia="Arial" w:cs="Arial"/>
                <w:sz w:val="20"/>
                <w:szCs w:val="20"/>
              </w:rPr>
              <w:t>Conflict threshold is configurable. Default is conservative. Tunable based on feedback.</w:t>
            </w:r>
          </w:p>
        </w:tc>
      </w:tr>
      <w:tr w14:paraId="67C2F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6C90017">
            <w:r>
              <w:rPr>
                <w:rFonts w:ascii="Arial" w:hAnsi="Arial" w:eastAsia="Arial" w:cs="Arial"/>
                <w:sz w:val="20"/>
                <w:szCs w:val="20"/>
              </w:rPr>
              <w:t>Gemini API rate limits during demonstration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F51C052">
            <w:r>
              <w:rPr>
                <w:rFonts w:ascii="Arial" w:hAnsi="Arial" w:eastAsia="Arial" w:cs="Arial"/>
                <w:sz w:val="20"/>
                <w:szCs w:val="20"/>
              </w:rPr>
              <w:t>Medium</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7BA8A72">
            <w:r>
              <w:rPr>
                <w:rFonts w:ascii="Arial" w:hAnsi="Arial" w:eastAsia="Arial" w:cs="Arial"/>
                <w:sz w:val="20"/>
                <w:szCs w:val="20"/>
              </w:rPr>
              <w:t>Cache prescription outputs for identical pattern matches to minimize API calls.</w:t>
            </w:r>
          </w:p>
        </w:tc>
      </w:tr>
      <w:tr w14:paraId="0CC70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6B33E5C6">
            <w:r>
              <w:rPr>
                <w:rFonts w:ascii="Arial" w:hAnsi="Arial" w:eastAsia="Arial" w:cs="Arial"/>
                <w:sz w:val="20"/>
                <w:szCs w:val="20"/>
              </w:rPr>
              <w:t>Isolation Forest false positive rate on small datasets</w:t>
            </w:r>
          </w:p>
        </w:tc>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01AE69C7">
            <w:r>
              <w:rPr>
                <w:rFonts w:ascii="Arial" w:hAnsi="Arial" w:eastAsia="Arial" w:cs="Arial"/>
                <w:sz w:val="20"/>
                <w:szCs w:val="20"/>
              </w:rPr>
              <w:t>Medium</w:t>
            </w:r>
          </w:p>
        </w:tc>
        <w:tc>
          <w:tcPr>
            <w:tcW w:w="4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36E2FAA9">
            <w:r>
              <w:rPr>
                <w:rFonts w:ascii="Arial" w:hAnsi="Arial" w:eastAsia="Arial" w:cs="Arial"/>
                <w:sz w:val="20"/>
                <w:szCs w:val="20"/>
              </w:rPr>
              <w:t>Apply minimum dataset size check. Fall back to rule-based flagging if dataset is below threshold.</w:t>
            </w:r>
          </w:p>
        </w:tc>
      </w:tr>
      <w:tr w14:paraId="0DF29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A5E4575">
            <w:r>
              <w:rPr>
                <w:rFonts w:ascii="Arial" w:hAnsi="Arial" w:eastAsia="Arial" w:cs="Arial"/>
                <w:sz w:val="20"/>
                <w:szCs w:val="20"/>
              </w:rPr>
              <w:t>Scope creep extending timeline significantly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5D3236">
            <w:r>
              <w:rPr>
                <w:rFonts w:ascii="Arial" w:hAnsi="Arial" w:eastAsia="Arial" w:cs="Arial"/>
                <w:sz w:val="20"/>
                <w:szCs w:val="20"/>
              </w:rPr>
              <w:t>Low</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4467BF4">
            <w:r>
              <w:rPr>
                <w:rFonts w:ascii="Arial" w:hAnsi="Arial" w:eastAsia="Arial" w:cs="Arial"/>
                <w:sz w:val="20"/>
                <w:szCs w:val="20"/>
              </w:rPr>
              <w:t>All features documented here are in scope. No additions without explicit decision to expand scope.</w:t>
            </w:r>
          </w:p>
        </w:tc>
      </w:tr>
    </w:tbl>
    <w:p w14:paraId="2BD5F38E">
      <w:pPr>
        <w:pBdr>
          <w:bottom w:val="single" w:color="CCCCCC" w:sz="4" w:space="1"/>
        </w:pBdr>
        <w:spacing w:before="180" w:after="180"/>
      </w:pPr>
    </w:p>
    <w:p w14:paraId="34E54A4D">
      <w:pPr>
        <w:pStyle w:val="2"/>
        <w:spacing w:before="400" w:after="140"/>
      </w:pPr>
      <w:r>
        <w:rPr>
          <w:rFonts w:ascii="Arial" w:hAnsi="Arial" w:eastAsia="Arial" w:cs="Arial"/>
          <w:b/>
          <w:bCs/>
          <w:color w:val="1E3A5F"/>
          <w:sz w:val="34"/>
          <w:szCs w:val="34"/>
        </w:rPr>
        <w:t>11. Roadmap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5160"/>
      </w:tblGrid>
      <w:tr w14:paraId="3D7C8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1903F009">
            <w:r>
              <w:rPr>
                <w:rFonts w:ascii="Arial" w:hAnsi="Arial" w:eastAsia="Arial" w:cs="Arial"/>
                <w:b/>
                <w:bCs/>
                <w:color w:val="FFFFFF"/>
                <w:sz w:val="20"/>
                <w:szCs w:val="20"/>
              </w:rPr>
              <w:t>Phase</w:t>
            </w:r>
          </w:p>
        </w:tc>
        <w:tc>
          <w:tcPr>
            <w:tcW w:w="220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449B71E3">
            <w:r>
              <w:rPr>
                <w:rFonts w:ascii="Arial" w:hAnsi="Arial" w:eastAsia="Arial" w:cs="Arial"/>
                <w:b/>
                <w:bCs/>
                <w:color w:val="FFFFFF"/>
                <w:sz w:val="20"/>
                <w:szCs w:val="20"/>
              </w:rPr>
              <w:t>Focus</w:t>
            </w:r>
          </w:p>
        </w:tc>
        <w:tc>
          <w:tcPr>
            <w:tcW w:w="5160" w:type="dxa"/>
            <w:tcBorders>
              <w:top w:val="single" w:color="1E3A5F" w:sz="0" w:space="0"/>
              <w:left w:val="single" w:color="1E3A5F" w:sz="0" w:space="0"/>
              <w:bottom w:val="single" w:color="1E3A5F" w:sz="0" w:space="0"/>
              <w:right w:val="single" w:color="1E3A5F" w:sz="0" w:space="0"/>
            </w:tcBorders>
            <w:shd w:val="clear" w:color="auto" w:fill="1E3A5F"/>
            <w:tcMar>
              <w:top w:w="100" w:type="dxa"/>
              <w:left w:w="140" w:type="dxa"/>
              <w:bottom w:w="100" w:type="dxa"/>
              <w:right w:w="140" w:type="dxa"/>
            </w:tcMar>
          </w:tcPr>
          <w:p w14:paraId="28A801B1">
            <w:r>
              <w:rPr>
                <w:rFonts w:ascii="Arial" w:hAnsi="Arial" w:eastAsia="Arial" w:cs="Arial"/>
                <w:b/>
                <w:bCs/>
                <w:color w:val="FFFFFF"/>
                <w:sz w:val="20"/>
                <w:szCs w:val="20"/>
              </w:rPr>
              <w:t>Deliverables</w:t>
            </w:r>
          </w:p>
        </w:tc>
      </w:tr>
      <w:tr w14:paraId="4AC42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011AB247">
            <w:r>
              <w:rPr>
                <w:rFonts w:ascii="Arial" w:hAnsi="Arial" w:eastAsia="Arial" w:cs="Arial"/>
                <w:sz w:val="20"/>
                <w:szCs w:val="20"/>
              </w:rPr>
              <w:t>Phase 1 — Core Pipeline</w:t>
            </w:r>
          </w:p>
        </w:tc>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7B719369">
            <w:r>
              <w:rPr>
                <w:rFonts w:ascii="Arial" w:hAnsi="Arial" w:eastAsia="Arial" w:cs="Arial"/>
                <w:sz w:val="20"/>
                <w:szCs w:val="20"/>
              </w:rPr>
              <w:t>Backend + ML</w:t>
            </w:r>
          </w:p>
        </w:tc>
        <w:tc>
          <w:tcPr>
            <w:tcW w:w="5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0B0BA59D">
            <w:r>
              <w:rPr>
                <w:rFonts w:ascii="Arial" w:hAnsi="Arial" w:eastAsia="Arial" w:cs="Arial"/>
                <w:sz w:val="20"/>
                <w:szCs w:val="20"/>
              </w:rPr>
              <w:t>CSV parsers for all three clouds, Isolation Forest engine, pattern library (30 patterns), conflict resolution layer, Gemini integration</w:t>
            </w:r>
          </w:p>
        </w:tc>
      </w:tr>
      <w:tr w14:paraId="18779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95ED8BE">
            <w:r>
              <w:rPr>
                <w:rFonts w:ascii="Arial" w:hAnsi="Arial" w:eastAsia="Arial" w:cs="Arial"/>
                <w:sz w:val="20"/>
                <w:szCs w:val="20"/>
              </w:rPr>
              <w:t>Phase 2 — Auth + Storage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8AB10A8">
            <w:r>
              <w:rPr>
                <w:rFonts w:ascii="Arial" w:hAnsi="Arial" w:eastAsia="Arial" w:cs="Arial"/>
                <w:sz w:val="20"/>
                <w:szCs w:val="20"/>
              </w:rPr>
              <w:t>Backend</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272951D">
            <w:r>
              <w:rPr>
                <w:rFonts w:ascii="Arial" w:hAnsi="Arial" w:eastAsia="Arial" w:cs="Arial"/>
                <w:sz w:val="20"/>
                <w:szCs w:val="20"/>
              </w:rPr>
              <w:t>Email/password auth, Google OAuth, JWT sessions, PostgreSQL setup, report storage, 30-day retention logic</w:t>
            </w:r>
          </w:p>
        </w:tc>
      </w:tr>
      <w:tr w14:paraId="627C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745FCCE3">
            <w:r>
              <w:rPr>
                <w:rFonts w:ascii="Arial" w:hAnsi="Arial" w:eastAsia="Arial" w:cs="Arial"/>
                <w:sz w:val="20"/>
                <w:szCs w:val="20"/>
              </w:rPr>
              <w:t>Phase 3 — Frontend</w:t>
            </w:r>
          </w:p>
        </w:tc>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5EFC8553">
            <w:r>
              <w:rPr>
                <w:rFonts w:ascii="Arial" w:hAnsi="Arial" w:eastAsia="Arial" w:cs="Arial"/>
                <w:sz w:val="20"/>
                <w:szCs w:val="20"/>
              </w:rPr>
              <w:t>React</w:t>
            </w:r>
          </w:p>
        </w:tc>
        <w:tc>
          <w:tcPr>
            <w:tcW w:w="5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05ACD164">
            <w:r>
              <w:rPr>
                <w:rFonts w:ascii="Arial" w:hAnsi="Arial" w:eastAsia="Arial" w:cs="Arial"/>
                <w:sz w:val="20"/>
                <w:szCs w:val="20"/>
              </w:rPr>
              <w:t>Landing page, auth screens, upload interface, essential services declaration UI, report rendering, report history dashboard</w:t>
            </w:r>
          </w:p>
        </w:tc>
      </w:tr>
      <w:tr w14:paraId="11A1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CBC1399">
            <w:r>
              <w:rPr>
                <w:rFonts w:ascii="Arial" w:hAnsi="Arial" w:eastAsia="Arial" w:cs="Arial"/>
                <w:sz w:val="20"/>
                <w:szCs w:val="20"/>
              </w:rPr>
              <w:t>Phase 4 — Output Layer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8C7BD7A">
            <w:r>
              <w:rPr>
                <w:rFonts w:ascii="Arial" w:hAnsi="Arial" w:eastAsia="Arial" w:cs="Arial"/>
                <w:sz w:val="20"/>
                <w:szCs w:val="20"/>
              </w:rPr>
              <w:t>PDF + Polish</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DB46B4D">
            <w:r>
              <w:rPr>
                <w:rFonts w:ascii="Arial" w:hAnsi="Arial" w:eastAsia="Arial" w:cs="Arial"/>
                <w:sz w:val="20"/>
                <w:szCs w:val="20"/>
              </w:rPr>
              <w:t>PDF export, report card design, synthetic data generator, end-to-end testing</w:t>
            </w:r>
          </w:p>
        </w:tc>
      </w:tr>
      <w:tr w14:paraId="7011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1A9CD600">
            <w:r>
              <w:rPr>
                <w:rFonts w:ascii="Arial" w:hAnsi="Arial" w:eastAsia="Arial" w:cs="Arial"/>
                <w:sz w:val="20"/>
                <w:szCs w:val="20"/>
              </w:rPr>
              <w:t>Phase 5 — Launch</w:t>
            </w:r>
          </w:p>
        </w:tc>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3FD39546">
            <w:r>
              <w:rPr>
                <w:rFonts w:ascii="Arial" w:hAnsi="Arial" w:eastAsia="Arial" w:cs="Arial"/>
                <w:sz w:val="20"/>
                <w:szCs w:val="20"/>
              </w:rPr>
              <w:t>Documentation</w:t>
            </w:r>
          </w:p>
        </w:tc>
        <w:tc>
          <w:tcPr>
            <w:tcW w:w="5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40" w:type="dxa"/>
              <w:bottom w:w="80" w:type="dxa"/>
              <w:right w:w="140" w:type="dxa"/>
            </w:tcMar>
          </w:tcPr>
          <w:p w14:paraId="7FFCA23B">
            <w:r>
              <w:rPr>
                <w:rFonts w:ascii="Arial" w:hAnsi="Arial" w:eastAsia="Arial" w:cs="Arial"/>
                <w:sz w:val="20"/>
                <w:szCs w:val="20"/>
              </w:rPr>
              <w:t>README, architecture diagrams, GitHub repo, LinkedIn post</w:t>
            </w:r>
          </w:p>
        </w:tc>
      </w:tr>
      <w:tr w14:paraId="7D1B5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CCAA586">
            <w:r>
              <w:rPr>
                <w:rFonts w:ascii="Arial" w:hAnsi="Arial" w:eastAsia="Arial" w:cs="Arial"/>
                <w:sz w:val="20"/>
                <w:szCs w:val="20"/>
              </w:rPr>
              <w:t>Future Work</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52C6625">
            <w:r>
              <w:rPr>
                <w:rFonts w:ascii="Arial" w:hAnsi="Arial" w:eastAsia="Arial" w:cs="Arial"/>
                <w:sz w:val="20"/>
                <w:szCs w:val="20"/>
              </w:rPr>
              <w:t>Post launch</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E5B0DC9">
            <w:r>
              <w:rPr>
                <w:rFonts w:ascii="Arial" w:hAnsi="Arial" w:eastAsia="Arial" w:cs="Arial"/>
                <w:sz w:val="20"/>
                <w:szCs w:val="20"/>
              </w:rPr>
              <w:t>User-editable pattern library, extended report retention options, real-time AWS API integration, team collaboration features</w:t>
            </w:r>
          </w:p>
        </w:tc>
      </w:tr>
    </w:tbl>
    <w:p w14:paraId="29884811">
      <w:pPr>
        <w:pBdr>
          <w:bottom w:val="single" w:color="CCCCCC" w:sz="4" w:space="1"/>
        </w:pBdr>
        <w:spacing w:before="180" w:after="180"/>
      </w:pPr>
    </w:p>
    <w:p w14:paraId="1B0F97CB">
      <w:pPr>
        <w:pStyle w:val="2"/>
        <w:spacing w:before="400" w:after="140"/>
      </w:pPr>
      <w:r>
        <w:rPr>
          <w:rFonts w:ascii="Arial" w:hAnsi="Arial" w:eastAsia="Arial" w:cs="Arial"/>
          <w:b/>
          <w:bCs/>
          <w:color w:val="1E3A5F"/>
          <w:sz w:val="34"/>
          <w:szCs w:val="34"/>
        </w:rPr>
        <w:t>12. Open Questions</w:t>
      </w:r>
    </w:p>
    <w:p w14:paraId="40832880">
      <w:pPr>
        <w:pStyle w:val="16"/>
        <w:numPr>
          <w:ilvl w:val="0"/>
          <w:numId w:val="1"/>
        </w:numPr>
        <w:spacing w:before="60" w:after="60"/>
      </w:pPr>
      <w:r>
        <w:rPr>
          <w:rFonts w:ascii="Arial" w:hAnsi="Arial" w:eastAsia="Arial" w:cs="Arial"/>
          <w:sz w:val="22"/>
          <w:szCs w:val="22"/>
        </w:rPr>
        <w:t>Final product name: CliPRx is the working name. To be confirmed before GitHub goes public.</w:t>
      </w:r>
    </w:p>
    <w:p w14:paraId="56C8297B">
      <w:pPr>
        <w:pStyle w:val="16"/>
        <w:numPr>
          <w:ilvl w:val="0"/>
          <w:numId w:val="1"/>
        </w:numPr>
        <w:spacing w:before="60" w:after="60"/>
      </w:pPr>
      <w:r>
        <w:rPr>
          <w:rFonts w:ascii="Arial" w:hAnsi="Arial" w:eastAsia="Arial" w:cs="Arial"/>
          <w:sz w:val="22"/>
          <w:szCs w:val="22"/>
        </w:rPr>
        <w:t>Savings estimates: flat percentage ranges from pattern library vs dynamic calculation using live AWS Pricing API.</w:t>
      </w:r>
    </w:p>
    <w:p w14:paraId="5212B400">
      <w:pPr>
        <w:pStyle w:val="16"/>
        <w:numPr>
          <w:ilvl w:val="0"/>
          <w:numId w:val="1"/>
        </w:numPr>
        <w:spacing w:before="60" w:after="60"/>
      </w:pPr>
      <w:r>
        <w:rPr>
          <w:rFonts w:ascii="Arial" w:hAnsi="Arial" w:eastAsia="Arial" w:cs="Arial"/>
          <w:sz w:val="22"/>
          <w:szCs w:val="22"/>
        </w:rPr>
        <w:t>Failure prediction model: rule-based heuristics vs lightweight trained scoring model.</w:t>
      </w:r>
    </w:p>
    <w:p w14:paraId="5E16DD96">
      <w:pPr>
        <w:pStyle w:val="16"/>
        <w:numPr>
          <w:ilvl w:val="0"/>
          <w:numId w:val="1"/>
        </w:numPr>
        <w:spacing w:before="60" w:after="60"/>
      </w:pPr>
      <w:r>
        <w:rPr>
          <w:rFonts w:ascii="Arial" w:hAnsi="Arial" w:eastAsia="Arial" w:cs="Arial"/>
          <w:sz w:val="22"/>
          <w:szCs w:val="22"/>
        </w:rPr>
        <w:t>Deployment: local only for portfolio vs hosted demo on Render or Railway for public access.</w:t>
      </w:r>
    </w:p>
    <w:p w14:paraId="3167DAC2">
      <w:pPr>
        <w:pStyle w:val="16"/>
        <w:numPr>
          <w:ilvl w:val="0"/>
          <w:numId w:val="1"/>
        </w:numPr>
        <w:spacing w:before="60" w:after="60"/>
      </w:pPr>
      <w:r>
        <w:rPr>
          <w:rFonts w:ascii="Arial" w:hAnsi="Arial" w:eastAsia="Arial" w:cs="Arial"/>
          <w:sz w:val="22"/>
          <w:szCs w:val="22"/>
        </w:rPr>
        <w:t>Pattern library expansion: 30 patterns covers AWS, Azure, GCP basics. Future versions may expand to 100 plus patterns across more specific service categories.</w:t>
      </w:r>
    </w:p>
    <w:p w14:paraId="3F8AF0DB">
      <w:pPr>
        <w:pBdr>
          <w:bottom w:val="single" w:color="CCCCCC" w:sz="4" w:space="1"/>
        </w:pBdr>
        <w:spacing w:before="180" w:after="180"/>
      </w:pPr>
    </w:p>
    <w:p w14:paraId="22F11920">
      <w:pPr>
        <w:spacing w:before="280" w:after="0"/>
        <w:jc w:val="center"/>
      </w:pPr>
      <w:r>
        <w:rPr>
          <w:rFonts w:ascii="Arial" w:hAnsi="Arial" w:eastAsia="Arial" w:cs="Arial"/>
          <w:color w:val="999999"/>
          <w:sz w:val="18"/>
          <w:szCs w:val="18"/>
        </w:rPr>
        <w:t>CliPRx PRD v2.0  |  Full Product  |  Confidential  |  Built on DIPPA Framework</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documentProtection w:enforcement="0"/>
  <w:compat>
    <w:compatSetting w:name="compatibilityMode" w:uri="http://schemas.microsoft.com/office/word" w:val="15"/>
  </w:compat>
  <w:rsids>
    <w:rsidRoot w:val="00000000"/>
    <w:rsid w:val="4CD50B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40"/>
      <w:outlineLvl w:val="0"/>
    </w:pPr>
    <w:rPr>
      <w:rFonts w:ascii="Arial" w:hAnsi="Arial" w:eastAsia="Arial" w:cs="Arial"/>
      <w:b/>
      <w:bCs/>
      <w:color w:val="1E3A5F"/>
      <w:sz w:val="34"/>
      <w:szCs w:val="34"/>
    </w:rPr>
  </w:style>
  <w:style w:type="paragraph" w:styleId="3">
    <w:name w:val="heading 2"/>
    <w:next w:val="1"/>
    <w:qFormat/>
    <w:uiPriority w:val="0"/>
    <w:pPr>
      <w:spacing w:before="260" w:after="100"/>
      <w:outlineLvl w:val="1"/>
    </w:pPr>
    <w:rPr>
      <w:rFonts w:ascii="Arial" w:hAnsi="Arial" w:eastAsia="Arial" w:cs="Arial"/>
      <w:b/>
      <w:bCs/>
      <w:color w:val="2E5F8A"/>
      <w:sz w:val="27"/>
      <w:szCs w:val="27"/>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2069</Words>
  <Characters>11971</Characters>
  <TotalTime>0</TotalTime>
  <ScaleCrop>false</ScaleCrop>
  <LinksUpToDate>false</LinksUpToDate>
  <CharactersWithSpaces>13842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2026-06-05T21:03:00Z</dcterms:created>
  <dc:creator>Un-named</dc:creator>
  <cp:lastModifiedBy>5889_VANSH SAXENA</cp:lastModifiedBy>
  <dcterms:modified xsi:type="dcterms:W3CDTF">2026-06-11T08:37:37Z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A2D778A7EDB644BCB9221E07382D6502_13</vt:lpwstr>
  </property>
</Properties>
</file>