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Cybernara GRC Platform</w:t>
      </w:r>
    </w:p>
    <w:p>
      <w:pPr>
        <w:jc w:val="center"/>
      </w:pPr>
      <w:r>
        <w:rPr>
          <w:b/>
          <w:color w:val="2563EB"/>
          <w:sz w:val="36"/>
        </w:rPr>
        <w:t>Product Workflow &amp; Architecture Guide</w:t>
      </w:r>
    </w:p>
    <w:p>
      <w:pPr>
        <w:jc w:val="center"/>
      </w:pPr>
      <w:r>
        <w:rPr>
          <w:color w:val="374151"/>
          <w:sz w:val="26"/>
        </w:rPr>
        <w:t>Phase 1: Platform Initialization Through Assessment Creation and Assessment Execution</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2937"/>
          </w:tcPr>
          <w:p>
            <w:pPr>
              <w:spacing w:after="0"/>
            </w:pPr>
            <w:r/>
            <w:r>
              <w:rPr>
                <w:b/>
                <w:color w:val="FFFFFF"/>
              </w:rPr>
              <w:t>Field</w:t>
            </w:r>
          </w:p>
        </w:tc>
        <w:tc>
          <w:tcPr>
            <w:tcW w:type="dxa" w:w="7920"/>
            <w:vAlign w:val="center"/>
            <w:shd w:fill="1F2937"/>
          </w:tcPr>
          <w:p>
            <w:pPr>
              <w:spacing w:after="0"/>
            </w:pPr>
            <w:r/>
            <w:r>
              <w:rPr>
                <w:b/>
                <w:color w:val="FFFFFF"/>
              </w:rPr>
              <w:t>Value</w:t>
            </w:r>
          </w:p>
        </w:tc>
      </w:tr>
      <w:tr>
        <w:tc>
          <w:tcPr>
            <w:tcW w:type="dxa" w:w="2880"/>
            <w:vAlign w:val="center"/>
          </w:tcPr>
          <w:p>
            <w:pPr>
              <w:spacing w:after="0"/>
            </w:pPr>
            <w:r/>
            <w:r>
              <w:rPr>
                <w:b w:val="0"/>
              </w:rPr>
              <w:t>Audience</w:t>
            </w:r>
          </w:p>
        </w:tc>
        <w:tc>
          <w:tcPr>
            <w:tcW w:type="dxa" w:w="7920"/>
            <w:vAlign w:val="center"/>
          </w:tcPr>
          <w:p>
            <w:pPr>
              <w:spacing w:after="0"/>
            </w:pPr>
            <w:r/>
            <w:r>
              <w:rPr>
                <w:b w:val="0"/>
              </w:rPr>
              <w:t>New developers, product owners, QA engineers, architects, and stakeholders</w:t>
            </w:r>
          </w:p>
        </w:tc>
      </w:tr>
      <w:tr>
        <w:tc>
          <w:tcPr>
            <w:tcW w:type="dxa" w:w="2880"/>
            <w:vAlign w:val="center"/>
          </w:tcPr>
          <w:p>
            <w:pPr>
              <w:spacing w:after="0"/>
            </w:pPr>
            <w:r/>
            <w:r>
              <w:rPr>
                <w:b w:val="0"/>
              </w:rPr>
              <w:t>Document type</w:t>
            </w:r>
          </w:p>
        </w:tc>
        <w:tc>
          <w:tcPr>
            <w:tcW w:type="dxa" w:w="7920"/>
            <w:vAlign w:val="center"/>
          </w:tcPr>
          <w:p>
            <w:pPr>
              <w:spacing w:after="0"/>
            </w:pPr>
            <w:r/>
            <w:r>
              <w:rPr>
                <w:b w:val="0"/>
              </w:rPr>
              <w:t>Internal Product Design &amp; Workflow Guide</w:t>
            </w:r>
          </w:p>
        </w:tc>
      </w:tr>
      <w:tr>
        <w:tc>
          <w:tcPr>
            <w:tcW w:type="dxa" w:w="2880"/>
            <w:vAlign w:val="center"/>
          </w:tcPr>
          <w:p>
            <w:pPr>
              <w:spacing w:after="0"/>
            </w:pPr>
            <w:r/>
            <w:r>
              <w:rPr>
                <w:b w:val="0"/>
              </w:rPr>
              <w:t>Scope</w:t>
            </w:r>
          </w:p>
        </w:tc>
        <w:tc>
          <w:tcPr>
            <w:tcW w:type="dxa" w:w="7920"/>
            <w:vAlign w:val="center"/>
          </w:tcPr>
          <w:p>
            <w:pPr>
              <w:spacing w:after="0"/>
            </w:pPr>
            <w:r/>
            <w:r>
              <w:rPr>
                <w:b w:val="0"/>
              </w:rPr>
              <w:t>Completed platform workflow from onboarding through assessment execution</w:t>
            </w:r>
          </w:p>
        </w:tc>
      </w:tr>
      <w:tr>
        <w:tc>
          <w:tcPr>
            <w:tcW w:type="dxa" w:w="2880"/>
            <w:vAlign w:val="center"/>
          </w:tcPr>
          <w:p>
            <w:pPr>
              <w:spacing w:after="0"/>
            </w:pPr>
            <w:r/>
            <w:r>
              <w:rPr>
                <w:b w:val="0"/>
              </w:rPr>
              <w:t>Out of scope</w:t>
            </w:r>
          </w:p>
        </w:tc>
        <w:tc>
          <w:tcPr>
            <w:tcW w:type="dxa" w:w="7920"/>
            <w:vAlign w:val="center"/>
          </w:tcPr>
          <w:p>
            <w:pPr>
              <w:spacing w:after="0"/>
            </w:pPr>
            <w:r/>
            <w:r>
              <w:rPr>
                <w:b w:val="0"/>
              </w:rPr>
              <w:t>Detailed design of post-assessment modules; those are listed as MVP workflow pending</w:t>
            </w:r>
          </w:p>
        </w:tc>
      </w:tr>
      <w:tr>
        <w:tc>
          <w:tcPr>
            <w:tcW w:type="dxa" w:w="2880"/>
            <w:vAlign w:val="center"/>
          </w:tcPr>
          <w:p>
            <w:pPr>
              <w:spacing w:after="0"/>
            </w:pPr>
            <w:r/>
            <w:r>
              <w:rPr>
                <w:b w:val="0"/>
              </w:rPr>
              <w:t>Generated</w:t>
            </w:r>
          </w:p>
        </w:tc>
        <w:tc>
          <w:tcPr>
            <w:tcW w:type="dxa" w:w="7920"/>
            <w:vAlign w:val="center"/>
          </w:tcPr>
          <w:p>
            <w:pPr>
              <w:spacing w:after="0"/>
            </w:pPr>
            <w:r/>
            <w:r>
              <w:rPr>
                <w:b w:val="0"/>
              </w:rPr>
              <w:t>2026-07-13</w:t>
            </w:r>
          </w:p>
        </w:tc>
      </w:tr>
    </w:tbl>
    <w:p/>
    <w:tbl>
      <w:tblPr>
        <w:tblStyle w:val="TableGrid"/>
        <w:tblW w:type="auto" w:w="0"/>
        <w:tblLook w:firstColumn="1" w:firstRow="1" w:lastColumn="0" w:lastRow="0" w:noHBand="0" w:noVBand="1" w:val="04A0"/>
      </w:tblPr>
      <w:tblGrid>
        <w:gridCol w:w="10080"/>
      </w:tblGrid>
      <w:tr>
        <w:tc>
          <w:tcPr>
            <w:tcW w:type="dxa" w:w="10080"/>
            <w:shd w:fill="ECFDF5"/>
          </w:tcPr>
          <w:p>
            <w:r/>
            <w:r>
              <w:rPr>
                <w:b/>
                <w:color w:val="047857"/>
              </w:rPr>
              <w:t>Scope boundary</w:t>
            </w:r>
            <w:r>
              <w:br/>
              <w:t>This guide intentionally documents the completed workflow only through Assessment Execution. Modules after that point are identified as MVP-integrated or foundational, but they are not described as fully complete workflows.</w:t>
            </w:r>
          </w:p>
        </w:tc>
      </w:tr>
    </w:tbl>
    <w:p/>
    <w:p>
      <w:r>
        <w:br w:type="page"/>
      </w:r>
    </w:p>
    <w:p>
      <w:pPr>
        <w:pStyle w:val="Heading1"/>
      </w:pPr>
      <w:r>
        <w:t>Table of Contents</w:t>
      </w:r>
    </w:p>
    <w:p>
      <w:r>
        <w:fldChar w:fldCharType="begin"/>
        <w:instrText xml:space="preserve">TOC \o "1-3" \h \z \u</w:instrText>
        <w:fldChar w:fldCharType="separate"/>
        <w:fldChar w:fldCharType="end"/>
      </w:r>
      <w:r>
        <w:t>Right-click and update field to refresh the table of contents in Microsoft Word.</w:t>
      </w:r>
    </w:p>
    <w:p>
      <w:r>
        <w:br w:type="page"/>
      </w:r>
    </w:p>
    <w:p>
      <w:pPr>
        <w:pStyle w:val="Heading1"/>
      </w:pPr>
      <w:r>
        <w:t>1. Executive Summary</w:t>
      </w:r>
    </w:p>
    <w:p>
      <w:r>
        <w:t>Cybernara is a private-cloud Governance, Risk, and Compliance platform designed to help organizations onboard compliance programs, enable regulatory frameworks, govern assessment questions, execute assessments, collect evidence, and preserve traceability from control source through assessment answer.</w:t>
      </w:r>
    </w:p>
    <w:p>
      <w:r>
        <w:t>Phase 1 establishes the operating spine of the platform: Cybernara platform ownership, client tenant onboarding, user onboarding, framework enablement, harmonized controls, governed question management, AI-assisted question generation with human approval, assessment creation, assessment execution, evidence submission, and auditability.</w:t>
      </w:r>
    </w:p>
    <w:p>
      <w:r>
        <w:t>The design principle is simple: assessments should not invent compliance content at runtime. They must consume approved, versioned questions that are traceable to harmonized controls and source frameworks. This gives every assessment item an explainable lineage and keeps historical assessments valid even as frameworks and questions evolve.</w:t>
      </w:r>
    </w:p>
    <w:p>
      <w:pPr>
        <w:pStyle w:val="Heading1"/>
      </w:pPr>
      <w:r>
        <w:t>2. Platform Overview</w:t>
      </w:r>
    </w:p>
    <w:p>
      <w:r>
        <w:t>Cybernara provides a governed workspace for compliance teams to understand what obligations apply, translate those obligations into harmonized controls, select approved assessment questions, collect answers and evidence, and preserve an audit-ready record of decisions.</w:t>
      </w:r>
    </w:p>
    <w:p>
      <w:r>
        <w:t>The Phase 1 workflow focuses on the compliance assessment lifecycle. A platform operator makes global content available, a client tenant enables the frameworks it needs, a tenant administrator invites users, compliance managers select approved questions, and assessors execute the assessment by answering questions and linking evidence.</w:t>
      </w:r>
    </w:p>
    <w:p>
      <w:r>
        <w:t>The platform separates global content from customer data. Global framework content, harmonized controls, source mappings, and approved question versions live in the canonical content catalog. Client tenants subscribe to published framework versions; they do not mutate global content.</w:t>
      </w:r>
    </w:p>
    <w:p>
      <w:r>
        <w:t>AI is used as an assistant for drafting assessment questions, not as an autonomous compliance authority. AI output cannot become reusable assessment content until a human reviewer approves and publishes it.</w:t>
      </w:r>
    </w:p>
    <w:p>
      <w:pPr>
        <w:pStyle w:val="Heading2"/>
      </w:pPr>
      <w:r>
        <w:t>2.1 Supported Compliance Frameworks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F2937"/>
          </w:tcPr>
          <w:p>
            <w:pPr>
              <w:spacing w:after="0"/>
            </w:pPr>
            <w:r/>
            <w:r>
              <w:rPr>
                <w:b/>
                <w:color w:val="FFFFFF"/>
              </w:rPr>
              <w:t>Framework key</w:t>
            </w:r>
          </w:p>
        </w:tc>
        <w:tc>
          <w:tcPr>
            <w:tcW w:type="dxa" w:w="8496"/>
            <w:vAlign w:val="center"/>
            <w:shd w:fill="1F2937"/>
          </w:tcPr>
          <w:p>
            <w:pPr>
              <w:spacing w:after="0"/>
            </w:pPr>
            <w:r/>
            <w:r>
              <w:rPr>
                <w:b/>
                <w:color w:val="FFFFFF"/>
              </w:rPr>
              <w:t>Business purpose</w:t>
            </w:r>
          </w:p>
        </w:tc>
      </w:tr>
      <w:tr>
        <w:tc>
          <w:tcPr>
            <w:tcW w:type="dxa" w:w="2304"/>
            <w:vAlign w:val="center"/>
          </w:tcPr>
          <w:p>
            <w:pPr>
              <w:spacing w:after="0"/>
            </w:pPr>
            <w:r/>
            <w:r>
              <w:rPr>
                <w:b w:val="0"/>
              </w:rPr>
              <w:t>CCPA</w:t>
            </w:r>
          </w:p>
        </w:tc>
        <w:tc>
          <w:tcPr>
            <w:tcW w:type="dxa" w:w="8496"/>
            <w:vAlign w:val="center"/>
          </w:tcPr>
          <w:p>
            <w:pPr>
              <w:spacing w:after="0"/>
            </w:pPr>
            <w:r/>
            <w:r>
              <w:rPr>
                <w:b w:val="0"/>
              </w:rPr>
              <w:t>California Consumer Privacy Act controls and rights obligations</w:t>
            </w:r>
          </w:p>
        </w:tc>
      </w:tr>
      <w:tr>
        <w:tc>
          <w:tcPr>
            <w:tcW w:type="dxa" w:w="2304"/>
            <w:vAlign w:val="center"/>
          </w:tcPr>
          <w:p>
            <w:pPr>
              <w:spacing w:after="0"/>
            </w:pPr>
            <w:r/>
            <w:r>
              <w:rPr>
                <w:b w:val="0"/>
              </w:rPr>
              <w:t>CMMI</w:t>
            </w:r>
          </w:p>
        </w:tc>
        <w:tc>
          <w:tcPr>
            <w:tcW w:type="dxa" w:w="8496"/>
            <w:vAlign w:val="center"/>
          </w:tcPr>
          <w:p>
            <w:pPr>
              <w:spacing w:after="0"/>
            </w:pPr>
            <w:r/>
            <w:r>
              <w:rPr>
                <w:b w:val="0"/>
              </w:rPr>
              <w:t>Capability and maturity process improvement model</w:t>
            </w:r>
          </w:p>
        </w:tc>
      </w:tr>
      <w:tr>
        <w:tc>
          <w:tcPr>
            <w:tcW w:type="dxa" w:w="2304"/>
            <w:vAlign w:val="center"/>
          </w:tcPr>
          <w:p>
            <w:pPr>
              <w:spacing w:after="0"/>
            </w:pPr>
            <w:r/>
            <w:r>
              <w:rPr>
                <w:b w:val="0"/>
              </w:rPr>
              <w:t>DPDP</w:t>
            </w:r>
          </w:p>
        </w:tc>
        <w:tc>
          <w:tcPr>
            <w:tcW w:type="dxa" w:w="8496"/>
            <w:vAlign w:val="center"/>
          </w:tcPr>
          <w:p>
            <w:pPr>
              <w:spacing w:after="0"/>
            </w:pPr>
            <w:r/>
            <w:r>
              <w:rPr>
                <w:b w:val="0"/>
              </w:rPr>
              <w:t>India Digital Personal Data Protection obligations</w:t>
            </w:r>
          </w:p>
        </w:tc>
      </w:tr>
      <w:tr>
        <w:tc>
          <w:tcPr>
            <w:tcW w:type="dxa" w:w="2304"/>
            <w:vAlign w:val="center"/>
          </w:tcPr>
          <w:p>
            <w:pPr>
              <w:spacing w:after="0"/>
            </w:pPr>
            <w:r/>
            <w:r>
              <w:rPr>
                <w:b w:val="0"/>
              </w:rPr>
              <w:t>E8</w:t>
            </w:r>
          </w:p>
        </w:tc>
        <w:tc>
          <w:tcPr>
            <w:tcW w:type="dxa" w:w="8496"/>
            <w:vAlign w:val="center"/>
          </w:tcPr>
          <w:p>
            <w:pPr>
              <w:spacing w:after="0"/>
            </w:pPr>
            <w:r/>
            <w:r>
              <w:rPr>
                <w:b w:val="0"/>
              </w:rPr>
              <w:t>Essential Eight maturity and security control model</w:t>
            </w:r>
          </w:p>
        </w:tc>
      </w:tr>
      <w:tr>
        <w:tc>
          <w:tcPr>
            <w:tcW w:type="dxa" w:w="2304"/>
            <w:vAlign w:val="center"/>
          </w:tcPr>
          <w:p>
            <w:pPr>
              <w:spacing w:after="0"/>
            </w:pPr>
            <w:r/>
            <w:r>
              <w:rPr>
                <w:b w:val="0"/>
              </w:rPr>
              <w:t>GDPR</w:t>
            </w:r>
          </w:p>
        </w:tc>
        <w:tc>
          <w:tcPr>
            <w:tcW w:type="dxa" w:w="8496"/>
            <w:vAlign w:val="center"/>
          </w:tcPr>
          <w:p>
            <w:pPr>
              <w:spacing w:after="0"/>
            </w:pPr>
            <w:r/>
            <w:r>
              <w:rPr>
                <w:b w:val="0"/>
              </w:rPr>
              <w:t>General Data Protection Regulation controls and obligations</w:t>
            </w:r>
          </w:p>
        </w:tc>
      </w:tr>
      <w:tr>
        <w:tc>
          <w:tcPr>
            <w:tcW w:type="dxa" w:w="2304"/>
            <w:vAlign w:val="center"/>
          </w:tcPr>
          <w:p>
            <w:pPr>
              <w:spacing w:after="0"/>
            </w:pPr>
            <w:r/>
            <w:r>
              <w:rPr>
                <w:b w:val="0"/>
              </w:rPr>
              <w:t>HIPAA</w:t>
            </w:r>
          </w:p>
        </w:tc>
        <w:tc>
          <w:tcPr>
            <w:tcW w:type="dxa" w:w="8496"/>
            <w:vAlign w:val="center"/>
          </w:tcPr>
          <w:p>
            <w:pPr>
              <w:spacing w:after="0"/>
            </w:pPr>
            <w:r/>
            <w:r>
              <w:rPr>
                <w:b w:val="0"/>
              </w:rPr>
              <w:t>Healthcare privacy/security safeguards</w:t>
            </w:r>
          </w:p>
        </w:tc>
      </w:tr>
      <w:tr>
        <w:tc>
          <w:tcPr>
            <w:tcW w:type="dxa" w:w="2304"/>
            <w:vAlign w:val="center"/>
          </w:tcPr>
          <w:p>
            <w:pPr>
              <w:spacing w:after="0"/>
            </w:pPr>
            <w:r/>
            <w:r>
              <w:rPr>
                <w:b w:val="0"/>
              </w:rPr>
              <w:t>HITRUST</w:t>
            </w:r>
          </w:p>
        </w:tc>
        <w:tc>
          <w:tcPr>
            <w:tcW w:type="dxa" w:w="8496"/>
            <w:vAlign w:val="center"/>
          </w:tcPr>
          <w:p>
            <w:pPr>
              <w:spacing w:after="0"/>
            </w:pPr>
            <w:r/>
            <w:r>
              <w:rPr>
                <w:b w:val="0"/>
              </w:rPr>
              <w:t>HITRUST control categories and implementation levels</w:t>
            </w:r>
          </w:p>
        </w:tc>
      </w:tr>
      <w:tr>
        <w:tc>
          <w:tcPr>
            <w:tcW w:type="dxa" w:w="2304"/>
            <w:vAlign w:val="center"/>
          </w:tcPr>
          <w:p>
            <w:pPr>
              <w:spacing w:after="0"/>
            </w:pPr>
            <w:r/>
            <w:r>
              <w:rPr>
                <w:b w:val="0"/>
              </w:rPr>
              <w:t>ISO_27001</w:t>
            </w:r>
          </w:p>
        </w:tc>
        <w:tc>
          <w:tcPr>
            <w:tcW w:type="dxa" w:w="8496"/>
            <w:vAlign w:val="center"/>
          </w:tcPr>
          <w:p>
            <w:pPr>
              <w:spacing w:after="0"/>
            </w:pPr>
            <w:r/>
            <w:r>
              <w:rPr>
                <w:b w:val="0"/>
              </w:rPr>
              <w:t>Information security management system controls</w:t>
            </w:r>
          </w:p>
        </w:tc>
      </w:tr>
      <w:tr>
        <w:tc>
          <w:tcPr>
            <w:tcW w:type="dxa" w:w="2304"/>
            <w:vAlign w:val="center"/>
          </w:tcPr>
          <w:p>
            <w:pPr>
              <w:spacing w:after="0"/>
            </w:pPr>
            <w:r/>
            <w:r>
              <w:rPr>
                <w:b w:val="0"/>
              </w:rPr>
              <w:t>ISO_9001</w:t>
            </w:r>
          </w:p>
        </w:tc>
        <w:tc>
          <w:tcPr>
            <w:tcW w:type="dxa" w:w="8496"/>
            <w:vAlign w:val="center"/>
          </w:tcPr>
          <w:p>
            <w:pPr>
              <w:spacing w:after="0"/>
            </w:pPr>
            <w:r/>
            <w:r>
              <w:rPr>
                <w:b w:val="0"/>
              </w:rPr>
              <w:t>Quality management system requirements</w:t>
            </w:r>
          </w:p>
        </w:tc>
      </w:tr>
      <w:tr>
        <w:tc>
          <w:tcPr>
            <w:tcW w:type="dxa" w:w="2304"/>
            <w:vAlign w:val="center"/>
          </w:tcPr>
          <w:p>
            <w:pPr>
              <w:spacing w:after="0"/>
            </w:pPr>
            <w:r/>
            <w:r>
              <w:rPr>
                <w:b w:val="0"/>
              </w:rPr>
              <w:t>NIST_SP800</w:t>
            </w:r>
          </w:p>
        </w:tc>
        <w:tc>
          <w:tcPr>
            <w:tcW w:type="dxa" w:w="8496"/>
            <w:vAlign w:val="center"/>
          </w:tcPr>
          <w:p>
            <w:pPr>
              <w:spacing w:after="0"/>
            </w:pPr>
            <w:r/>
            <w:r>
              <w:rPr>
                <w:b w:val="0"/>
              </w:rPr>
              <w:t>NIST SP 800 control catalog</w:t>
            </w:r>
          </w:p>
        </w:tc>
      </w:tr>
      <w:tr>
        <w:tc>
          <w:tcPr>
            <w:tcW w:type="dxa" w:w="2304"/>
            <w:vAlign w:val="center"/>
          </w:tcPr>
          <w:p>
            <w:pPr>
              <w:spacing w:after="0"/>
            </w:pPr>
            <w:r/>
            <w:r>
              <w:rPr>
                <w:b w:val="0"/>
              </w:rPr>
              <w:t>PCI_DSS</w:t>
            </w:r>
          </w:p>
        </w:tc>
        <w:tc>
          <w:tcPr>
            <w:tcW w:type="dxa" w:w="8496"/>
            <w:vAlign w:val="center"/>
          </w:tcPr>
          <w:p>
            <w:pPr>
              <w:spacing w:after="0"/>
            </w:pPr>
            <w:r/>
            <w:r>
              <w:rPr>
                <w:b w:val="0"/>
              </w:rPr>
              <w:t>Payment Card Industry Data Security Standard</w:t>
            </w:r>
          </w:p>
        </w:tc>
      </w:tr>
      <w:tr>
        <w:tc>
          <w:tcPr>
            <w:tcW w:type="dxa" w:w="2304"/>
            <w:vAlign w:val="center"/>
          </w:tcPr>
          <w:p>
            <w:pPr>
              <w:spacing w:after="0"/>
            </w:pPr>
            <w:r/>
            <w:r>
              <w:rPr>
                <w:b w:val="0"/>
              </w:rPr>
              <w:t>PDPL</w:t>
            </w:r>
          </w:p>
        </w:tc>
        <w:tc>
          <w:tcPr>
            <w:tcW w:type="dxa" w:w="8496"/>
            <w:vAlign w:val="center"/>
          </w:tcPr>
          <w:p>
            <w:pPr>
              <w:spacing w:after="0"/>
            </w:pPr>
            <w:r/>
            <w:r>
              <w:rPr>
                <w:b w:val="0"/>
              </w:rPr>
              <w:t>Personal Data Protection Law obligations</w:t>
            </w:r>
          </w:p>
        </w:tc>
      </w:tr>
      <w:tr>
        <w:tc>
          <w:tcPr>
            <w:tcW w:type="dxa" w:w="2304"/>
            <w:vAlign w:val="center"/>
          </w:tcPr>
          <w:p>
            <w:pPr>
              <w:spacing w:after="0"/>
            </w:pPr>
            <w:r/>
            <w:r>
              <w:rPr>
                <w:b w:val="0"/>
              </w:rPr>
              <w:t>SOC2</w:t>
            </w:r>
          </w:p>
        </w:tc>
        <w:tc>
          <w:tcPr>
            <w:tcW w:type="dxa" w:w="8496"/>
            <w:vAlign w:val="center"/>
          </w:tcPr>
          <w:p>
            <w:pPr>
              <w:spacing w:after="0"/>
            </w:pPr>
            <w:r/>
            <w:r>
              <w:rPr>
                <w:b w:val="0"/>
              </w:rPr>
              <w:t>Trust Services Criteria controls</w:t>
            </w:r>
          </w:p>
        </w:tc>
      </w:tr>
    </w:tbl>
    <w:p/>
    <w:p>
      <w:pPr>
        <w:pStyle w:val="Heading1"/>
      </w:pPr>
      <w:r>
        <w:t>3. System Architecture</w:t>
      </w:r>
    </w:p>
    <w:p>
      <w:r>
        <w:t>Browser interactions are rendered by the Next.js frontend. Mutating actions typically post to colocated Next.js server-action routes, which construct a backend API client using the current session. The backend validates request context, runs policy checks, executes domain services, persists data through tenant-scoped repositories, and records audit/outbox events for important state transitions.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2937"/>
          </w:tcPr>
          <w:p>
            <w:pPr>
              <w:spacing w:after="0"/>
            </w:pPr>
            <w:r/>
            <w:r>
              <w:rPr>
                <w:b/>
                <w:color w:val="FFFFFF"/>
              </w:rPr>
              <w:t>Component</w:t>
            </w:r>
          </w:p>
        </w:tc>
        <w:tc>
          <w:tcPr>
            <w:tcW w:type="dxa" w:w="8208"/>
            <w:vAlign w:val="center"/>
            <w:shd w:fill="1F2937"/>
          </w:tcPr>
          <w:p>
            <w:pPr>
              <w:spacing w:after="0"/>
            </w:pPr>
            <w:r/>
            <w:r>
              <w:rPr>
                <w:b/>
                <w:color w:val="FFFFFF"/>
              </w:rPr>
              <w:t>Role in Phase 1</w:t>
            </w:r>
          </w:p>
        </w:tc>
      </w:tr>
      <w:tr>
        <w:tc>
          <w:tcPr>
            <w:tcW w:type="dxa" w:w="2592"/>
            <w:vAlign w:val="center"/>
          </w:tcPr>
          <w:p>
            <w:pPr>
              <w:spacing w:after="0"/>
            </w:pPr>
            <w:r/>
            <w:r>
              <w:rPr>
                <w:b w:val="0"/>
              </w:rPr>
              <w:t>Frontend</w:t>
            </w:r>
          </w:p>
        </w:tc>
        <w:tc>
          <w:tcPr>
            <w:tcW w:type="dxa" w:w="8208"/>
            <w:vAlign w:val="center"/>
          </w:tcPr>
          <w:p>
            <w:pPr>
              <w:spacing w:after="0"/>
            </w:pPr>
            <w:r/>
            <w:r>
              <w:rPr>
                <w:b w:val="0"/>
              </w:rPr>
              <w:t>Next.js application that renders platform, tenant admin, framework, AI review, and assessment workflows. Uses server actions/BFF routes to call the backend.</w:t>
            </w:r>
          </w:p>
        </w:tc>
      </w:tr>
      <w:tr>
        <w:tc>
          <w:tcPr>
            <w:tcW w:type="dxa" w:w="2592"/>
            <w:vAlign w:val="center"/>
          </w:tcPr>
          <w:p>
            <w:pPr>
              <w:spacing w:after="0"/>
            </w:pPr>
            <w:r/>
            <w:r>
              <w:rPr>
                <w:b w:val="0"/>
              </w:rPr>
              <w:t>Backend</w:t>
            </w:r>
          </w:p>
        </w:tc>
        <w:tc>
          <w:tcPr>
            <w:tcW w:type="dxa" w:w="8208"/>
            <w:vAlign w:val="center"/>
          </w:tcPr>
          <w:p>
            <w:pPr>
              <w:spacing w:after="0"/>
            </w:pPr>
            <w:r/>
            <w:r>
              <w:rPr>
                <w:b w:val="0"/>
              </w:rPr>
              <w:t>NestJS API exposing versioned REST endpoints for identity, framework content, AI orchestration, question repository, assessment execution, evidence, audit, and supporting modules.</w:t>
            </w:r>
          </w:p>
        </w:tc>
      </w:tr>
      <w:tr>
        <w:tc>
          <w:tcPr>
            <w:tcW w:type="dxa" w:w="2592"/>
            <w:vAlign w:val="center"/>
          </w:tcPr>
          <w:p>
            <w:pPr>
              <w:spacing w:after="0"/>
            </w:pPr>
            <w:r/>
            <w:r>
              <w:rPr>
                <w:b w:val="0"/>
              </w:rPr>
              <w:t>Database</w:t>
            </w:r>
          </w:p>
        </w:tc>
        <w:tc>
          <w:tcPr>
            <w:tcW w:type="dxa" w:w="8208"/>
            <w:vAlign w:val="center"/>
          </w:tcPr>
          <w:p>
            <w:pPr>
              <w:spacing w:after="0"/>
            </w:pPr>
            <w:r/>
            <w:r>
              <w:rPr>
                <w:b w:val="0"/>
              </w:rPr>
              <w:t>Postgres/Supabase-backed relational model with tenant-scoped records, canonical catalog records, RLS, schema migrations, audit/outbox patterns, and versioned content tables.</w:t>
            </w:r>
          </w:p>
        </w:tc>
      </w:tr>
      <w:tr>
        <w:tc>
          <w:tcPr>
            <w:tcW w:type="dxa" w:w="2592"/>
            <w:vAlign w:val="center"/>
          </w:tcPr>
          <w:p>
            <w:pPr>
              <w:spacing w:after="0"/>
            </w:pPr>
            <w:r/>
            <w:r>
              <w:rPr>
                <w:b w:val="0"/>
              </w:rPr>
              <w:t>Authentication</w:t>
            </w:r>
          </w:p>
        </w:tc>
        <w:tc>
          <w:tcPr>
            <w:tcW w:type="dxa" w:w="8208"/>
            <w:vAlign w:val="center"/>
          </w:tcPr>
          <w:p>
            <w:pPr>
              <w:spacing w:after="0"/>
            </w:pPr>
            <w:r/>
            <w:r>
              <w:rPr>
                <w:b w:val="0"/>
              </w:rPr>
              <w:t>Supabase Auth provides users and sessions. Platform operators and tenant users are distinguished by auth metadata and backend identity records.</w:t>
            </w:r>
          </w:p>
        </w:tc>
      </w:tr>
      <w:tr>
        <w:tc>
          <w:tcPr>
            <w:tcW w:type="dxa" w:w="2592"/>
            <w:vAlign w:val="center"/>
          </w:tcPr>
          <w:p>
            <w:pPr>
              <w:spacing w:after="0"/>
            </w:pPr>
            <w:r/>
            <w:r>
              <w:rPr>
                <w:b w:val="0"/>
              </w:rPr>
              <w:t>Authorization</w:t>
            </w:r>
          </w:p>
        </w:tc>
        <w:tc>
          <w:tcPr>
            <w:tcW w:type="dxa" w:w="8208"/>
            <w:vAlign w:val="center"/>
          </w:tcPr>
          <w:p>
            <w:pPr>
              <w:spacing w:after="0"/>
            </w:pPr>
            <w:r/>
            <w:r>
              <w:rPr>
                <w:b w:val="0"/>
              </w:rPr>
              <w:t>PolicyGuard evaluates tenant, role, scope, resource classification, and clearance. PlatformOperatorGuard separately protects cross-tenant platform onboarding and global content governance.</w:t>
            </w:r>
          </w:p>
        </w:tc>
      </w:tr>
      <w:tr>
        <w:tc>
          <w:tcPr>
            <w:tcW w:type="dxa" w:w="2592"/>
            <w:vAlign w:val="center"/>
          </w:tcPr>
          <w:p>
            <w:pPr>
              <w:spacing w:after="0"/>
            </w:pPr>
            <w:r/>
            <w:r>
              <w:rPr>
                <w:b w:val="0"/>
              </w:rPr>
              <w:t>AI Layer</w:t>
            </w:r>
          </w:p>
        </w:tc>
        <w:tc>
          <w:tcPr>
            <w:tcW w:type="dxa" w:w="8208"/>
            <w:vAlign w:val="center"/>
          </w:tcPr>
          <w:p>
            <w:pPr>
              <w:spacing w:after="0"/>
            </w:pPr>
            <w:r/>
            <w:r>
              <w:rPr>
                <w:b w:val="0"/>
              </w:rPr>
              <w:t>OpenAI Responses API integration for question generation, with context-constrained schema output, citations, evidence expectations, safety/governance records, human review, and publication.</w:t>
            </w:r>
          </w:p>
        </w:tc>
      </w:tr>
      <w:tr>
        <w:tc>
          <w:tcPr>
            <w:tcW w:type="dxa" w:w="2592"/>
            <w:vAlign w:val="center"/>
          </w:tcPr>
          <w:p>
            <w:pPr>
              <w:spacing w:after="0"/>
            </w:pPr>
            <w:r/>
            <w:r>
              <w:rPr>
                <w:b w:val="0"/>
              </w:rPr>
              <w:t>Framework Repository</w:t>
            </w:r>
          </w:p>
        </w:tc>
        <w:tc>
          <w:tcPr>
            <w:tcW w:type="dxa" w:w="8208"/>
            <w:vAlign w:val="center"/>
          </w:tcPr>
          <w:p>
            <w:pPr>
              <w:spacing w:after="0"/>
            </w:pPr>
            <w:r/>
            <w:r>
              <w:rPr>
                <w:b w:val="0"/>
              </w:rPr>
              <w:t>Canonical framework and control content parsed from source workbooks and exposed as published framework versions/content packs.</w:t>
            </w:r>
          </w:p>
        </w:tc>
      </w:tr>
      <w:tr>
        <w:tc>
          <w:tcPr>
            <w:tcW w:type="dxa" w:w="2592"/>
            <w:vAlign w:val="center"/>
          </w:tcPr>
          <w:p>
            <w:pPr>
              <w:spacing w:after="0"/>
            </w:pPr>
            <w:r/>
            <w:r>
              <w:rPr>
                <w:b w:val="0"/>
              </w:rPr>
              <w:t>Question Repository</w:t>
            </w:r>
          </w:p>
        </w:tc>
        <w:tc>
          <w:tcPr>
            <w:tcW w:type="dxa" w:w="8208"/>
            <w:vAlign w:val="center"/>
          </w:tcPr>
          <w:p>
            <w:pPr>
              <w:spacing w:after="0"/>
            </w:pPr>
            <w:r/>
            <w:r>
              <w:rPr>
                <w:b w:val="0"/>
              </w:rPr>
              <w:t>Global governed catalog of question sets and question versions linked to harmonized controls and reusable across assessments.</w:t>
            </w:r>
          </w:p>
        </w:tc>
      </w:tr>
      <w:tr>
        <w:tc>
          <w:tcPr>
            <w:tcW w:type="dxa" w:w="2592"/>
            <w:vAlign w:val="center"/>
          </w:tcPr>
          <w:p>
            <w:pPr>
              <w:spacing w:after="0"/>
            </w:pPr>
            <w:r/>
            <w:r>
              <w:rPr>
                <w:b w:val="0"/>
              </w:rPr>
              <w:t>Assessment Engine</w:t>
            </w:r>
          </w:p>
        </w:tc>
        <w:tc>
          <w:tcPr>
            <w:tcW w:type="dxa" w:w="8208"/>
            <w:vAlign w:val="center"/>
          </w:tcPr>
          <w:p>
            <w:pPr>
              <w:spacing w:after="0"/>
            </w:pPr>
            <w:r/>
            <w:r>
              <w:rPr>
                <w:b w:val="0"/>
              </w:rPr>
              <w:t>Creates assessments from approved question versions, locks version references, tracks applicability, answers, evidence IDs, review decisions, and status.</w:t>
            </w:r>
          </w:p>
        </w:tc>
      </w:tr>
    </w:tbl>
    <w:p/>
    <w:p>
      <w:pPr>
        <w:pStyle w:val="Heading3"/>
      </w:pPr>
      <w:r>
        <w:t>Architecture Diagram</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flowchart LR</w:t>
            </w:r>
          </w:p>
          <w:p>
            <w:pPr>
              <w:pStyle w:val="MermaidCode"/>
            </w:pPr>
            <w:r>
              <w:t xml:space="preserve">  Browser["Browser / User"] --&gt; FE["Next.js Frontend"]</w:t>
            </w:r>
          </w:p>
          <w:p>
            <w:pPr>
              <w:pStyle w:val="MermaidCode"/>
            </w:pPr>
            <w:r>
              <w:t xml:space="preserve">  FE --&gt; BFF["Server actions and BFF proxy"]</w:t>
            </w:r>
          </w:p>
          <w:p>
            <w:pPr>
              <w:pStyle w:val="MermaidCode"/>
            </w:pPr>
            <w:r>
              <w:t xml:space="preserve">  BFF --&gt; API["NestJS Backend API"]</w:t>
            </w:r>
          </w:p>
          <w:p>
            <w:pPr>
              <w:pStyle w:val="MermaidCode"/>
            </w:pPr>
            <w:r>
              <w:t xml:space="preserve">  API --&gt; Auth["Supabase Auth metadata"]</w:t>
            </w:r>
          </w:p>
          <w:p>
            <w:pPr>
              <w:pStyle w:val="MermaidCode"/>
            </w:pPr>
            <w:r>
              <w:t xml:space="preserve">  API --&gt; Policy["PolicyGuard / PlatformOperatorGuard"]</w:t>
            </w:r>
          </w:p>
          <w:p>
            <w:pPr>
              <w:pStyle w:val="MermaidCode"/>
            </w:pPr>
            <w:r>
              <w:t xml:space="preserve">  API --&gt; Services["Domain Services"]</w:t>
            </w:r>
          </w:p>
          <w:p>
            <w:pPr>
              <w:pStyle w:val="MermaidCode"/>
            </w:pPr>
            <w:r>
              <w:t xml:space="preserve">  Services --&gt; DB[("Postgres / Supabase DB")]</w:t>
            </w:r>
          </w:p>
          <w:p>
            <w:pPr>
              <w:pStyle w:val="MermaidCode"/>
            </w:pPr>
            <w:r>
              <w:t xml:space="preserve">  Services --&gt; OpenAI["OpenAI Responses API"]</w:t>
            </w:r>
          </w:p>
          <w:p>
            <w:pPr>
              <w:pStyle w:val="MermaidCode"/>
            </w:pPr>
            <w:r>
              <w:t xml:space="preserve">  Services --&gt; Audit["Audit Log and Outbox"]</w:t>
            </w:r>
          </w:p>
          <w:p>
            <w:pPr>
              <w:pStyle w:val="MermaidCode"/>
            </w:pPr>
            <w:r>
              <w:t xml:space="preserve">  DB --&gt; Catalog["Canonical Framework and Question Catalog"]</w:t>
            </w:r>
          </w:p>
          <w:p>
            <w:pPr>
              <w:pStyle w:val="MermaidCode"/>
            </w:pPr>
            <w:r>
              <w:t xml:space="preserve">  DB --&gt; Tenant["Tenant Operational Data"]</w:t>
            </w:r>
          </w:p>
        </w:tc>
      </w:tr>
    </w:tbl>
    <w:p/>
    <w:p>
      <w:pPr>
        <w:pStyle w:val="Heading2"/>
      </w:pPr>
      <w:r>
        <w:t>3.1 Authorization and Clearance Model</w:t>
      </w:r>
    </w:p>
    <w:p>
      <w:r>
        <w:t>Tenant authorization uses a combination of identity, scope, and classification. A request subject contains tenant ID, user ID, roles, scopes, and clearance. A protected resource has tenant ID, resource type, classification, state, and requested action. The system allows a request only when tenant IDs match, the user clearance is at least the resource classification, and the user has the required scope.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2937"/>
          </w:tcPr>
          <w:p>
            <w:pPr>
              <w:spacing w:after="0"/>
            </w:pPr>
            <w:r/>
            <w:r>
              <w:rPr>
                <w:b/>
                <w:color w:val="FFFFFF"/>
              </w:rPr>
              <w:t>Clearance</w:t>
            </w:r>
          </w:p>
        </w:tc>
        <w:tc>
          <w:tcPr>
            <w:tcW w:type="dxa" w:w="8640"/>
            <w:vAlign w:val="center"/>
            <w:shd w:fill="1F2937"/>
          </w:tcPr>
          <w:p>
            <w:pPr>
              <w:spacing w:after="0"/>
            </w:pPr>
            <w:r/>
            <w:r>
              <w:rPr>
                <w:b/>
                <w:color w:val="FFFFFF"/>
              </w:rPr>
              <w:t>Meaning</w:t>
            </w:r>
          </w:p>
        </w:tc>
      </w:tr>
      <w:tr>
        <w:tc>
          <w:tcPr>
            <w:tcW w:type="dxa" w:w="2160"/>
            <w:vAlign w:val="center"/>
          </w:tcPr>
          <w:p>
            <w:pPr>
              <w:spacing w:after="0"/>
            </w:pPr>
            <w:r/>
            <w:r>
              <w:rPr>
                <w:b w:val="0"/>
              </w:rPr>
              <w:t>public</w:t>
            </w:r>
          </w:p>
        </w:tc>
        <w:tc>
          <w:tcPr>
            <w:tcW w:type="dxa" w:w="8640"/>
            <w:vAlign w:val="center"/>
          </w:tcPr>
          <w:p>
            <w:pPr>
              <w:spacing w:after="0"/>
            </w:pPr>
            <w:r/>
            <w:r>
              <w:rPr>
                <w:b w:val="0"/>
              </w:rPr>
              <w:t>Lowest sensitivity</w:t>
            </w:r>
          </w:p>
        </w:tc>
      </w:tr>
      <w:tr>
        <w:tc>
          <w:tcPr>
            <w:tcW w:type="dxa" w:w="2160"/>
            <w:vAlign w:val="center"/>
          </w:tcPr>
          <w:p>
            <w:pPr>
              <w:spacing w:after="0"/>
            </w:pPr>
            <w:r/>
            <w:r>
              <w:rPr>
                <w:b w:val="0"/>
              </w:rPr>
              <w:t>internal</w:t>
            </w:r>
          </w:p>
        </w:tc>
        <w:tc>
          <w:tcPr>
            <w:tcW w:type="dxa" w:w="8640"/>
            <w:vAlign w:val="center"/>
          </w:tcPr>
          <w:p>
            <w:pPr>
              <w:spacing w:after="0"/>
            </w:pPr>
            <w:r/>
            <w:r>
              <w:rPr>
                <w:b w:val="0"/>
              </w:rPr>
              <w:t>Internal tenant information</w:t>
            </w:r>
          </w:p>
        </w:tc>
      </w:tr>
      <w:tr>
        <w:tc>
          <w:tcPr>
            <w:tcW w:type="dxa" w:w="2160"/>
            <w:vAlign w:val="center"/>
          </w:tcPr>
          <w:p>
            <w:pPr>
              <w:spacing w:after="0"/>
            </w:pPr>
            <w:r/>
            <w:r>
              <w:rPr>
                <w:b w:val="0"/>
              </w:rPr>
              <w:t>confidential</w:t>
            </w:r>
          </w:p>
        </w:tc>
        <w:tc>
          <w:tcPr>
            <w:tcW w:type="dxa" w:w="8640"/>
            <w:vAlign w:val="center"/>
          </w:tcPr>
          <w:p>
            <w:pPr>
              <w:spacing w:after="0"/>
            </w:pPr>
            <w:r/>
            <w:r>
              <w:rPr>
                <w:b w:val="0"/>
              </w:rPr>
              <w:t>Standard operational compliance data</w:t>
            </w:r>
          </w:p>
        </w:tc>
      </w:tr>
      <w:tr>
        <w:tc>
          <w:tcPr>
            <w:tcW w:type="dxa" w:w="2160"/>
            <w:vAlign w:val="center"/>
          </w:tcPr>
          <w:p>
            <w:pPr>
              <w:spacing w:after="0"/>
            </w:pPr>
            <w:r/>
            <w:r>
              <w:rPr>
                <w:b w:val="0"/>
              </w:rPr>
              <w:t>restricted</w:t>
            </w:r>
          </w:p>
        </w:tc>
        <w:tc>
          <w:tcPr>
            <w:tcW w:type="dxa" w:w="8640"/>
            <w:vAlign w:val="center"/>
          </w:tcPr>
          <w:p>
            <w:pPr>
              <w:spacing w:after="0"/>
            </w:pPr>
            <w:r/>
            <w:r>
              <w:rPr>
                <w:b w:val="0"/>
              </w:rPr>
              <w:t>Highest sensitivity; admin, catalog governance, scan, and privileged records</w:t>
            </w:r>
          </w:p>
        </w:tc>
      </w:tr>
    </w:tbl>
    <w:p/>
    <w:p>
      <w:pPr>
        <w:pStyle w:val="Heading1"/>
      </w:pPr>
      <w:r>
        <w:t>4. User Types and Responsibilities</w:t>
      </w:r>
    </w:p>
    <w:p>
      <w:r>
        <w:t>Cybernara separates the platform operator role from tenant operational roles. Cybernara personnel can onboard client organizations and govern global content, while tenant users operate only inside their own customer tenant.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F2937"/>
          </w:tcPr>
          <w:p>
            <w:pPr>
              <w:spacing w:after="0"/>
            </w:pPr>
            <w:r/>
            <w:r>
              <w:rPr>
                <w:b/>
                <w:color w:val="FFFFFF"/>
              </w:rPr>
              <w:t>Role</w:t>
            </w:r>
          </w:p>
        </w:tc>
        <w:tc>
          <w:tcPr>
            <w:tcW w:type="dxa" w:w="2304"/>
            <w:vAlign w:val="center"/>
            <w:shd w:fill="1F2937"/>
          </w:tcPr>
          <w:p>
            <w:pPr>
              <w:spacing w:after="0"/>
            </w:pPr>
            <w:r/>
            <w:r>
              <w:rPr>
                <w:b/>
                <w:color w:val="FFFFFF"/>
              </w:rPr>
              <w:t>Who uses it</w:t>
            </w:r>
          </w:p>
        </w:tc>
        <w:tc>
          <w:tcPr>
            <w:tcW w:type="dxa" w:w="3744"/>
            <w:vAlign w:val="center"/>
            <w:shd w:fill="1F2937"/>
          </w:tcPr>
          <w:p>
            <w:pPr>
              <w:spacing w:after="0"/>
            </w:pPr>
            <w:r/>
            <w:r>
              <w:rPr>
                <w:b/>
                <w:color w:val="FFFFFF"/>
              </w:rPr>
              <w:t>Responsibilities</w:t>
            </w:r>
          </w:p>
        </w:tc>
        <w:tc>
          <w:tcPr>
            <w:tcW w:type="dxa" w:w="3456"/>
            <w:vAlign w:val="center"/>
            <w:shd w:fill="1F2937"/>
          </w:tcPr>
          <w:p>
            <w:pPr>
              <w:spacing w:after="0"/>
            </w:pPr>
            <w:r/>
            <w:r>
              <w:rPr>
                <w:b/>
                <w:color w:val="FFFFFF"/>
              </w:rPr>
              <w:t>Limitations</w:t>
            </w:r>
          </w:p>
        </w:tc>
      </w:tr>
      <w:tr>
        <w:tc>
          <w:tcPr>
            <w:tcW w:type="dxa" w:w="2160"/>
            <w:vAlign w:val="center"/>
          </w:tcPr>
          <w:p>
            <w:pPr>
              <w:spacing w:after="0"/>
            </w:pPr>
            <w:r/>
            <w:r>
              <w:rPr>
                <w:b w:val="0"/>
              </w:rPr>
              <w:t>Platform Super Admin</w:t>
            </w:r>
          </w:p>
        </w:tc>
        <w:tc>
          <w:tcPr>
            <w:tcW w:type="dxa" w:w="2304"/>
            <w:vAlign w:val="center"/>
          </w:tcPr>
          <w:p>
            <w:pPr>
              <w:spacing w:after="0"/>
            </w:pPr>
            <w:r/>
            <w:r>
              <w:rPr>
                <w:b w:val="0"/>
              </w:rPr>
              <w:t>Cybernara internal operator</w:t>
            </w:r>
          </w:p>
        </w:tc>
        <w:tc>
          <w:tcPr>
            <w:tcW w:type="dxa" w:w="3744"/>
            <w:vAlign w:val="center"/>
          </w:tcPr>
          <w:p>
            <w:pPr>
              <w:spacing w:after="0"/>
            </w:pPr>
            <w:r/>
            <w:r>
              <w:rPr>
                <w:b w:val="0"/>
              </w:rPr>
              <w:t>Create client tenants, create first tenant admin, govern global Question Repository, view global catalog content</w:t>
            </w:r>
          </w:p>
        </w:tc>
        <w:tc>
          <w:tcPr>
            <w:tcW w:type="dxa" w:w="3456"/>
            <w:vAlign w:val="center"/>
          </w:tcPr>
          <w:p>
            <w:pPr>
              <w:spacing w:after="0"/>
            </w:pPr>
            <w:r/>
            <w:r>
              <w:rPr>
                <w:b w:val="0"/>
              </w:rPr>
              <w:t>Not a member of any client tenant; no default access to tenant assessments or evidence</w:t>
            </w:r>
          </w:p>
        </w:tc>
      </w:tr>
      <w:tr>
        <w:tc>
          <w:tcPr>
            <w:tcW w:type="dxa" w:w="2160"/>
            <w:vAlign w:val="center"/>
          </w:tcPr>
          <w:p>
            <w:pPr>
              <w:spacing w:after="0"/>
            </w:pPr>
            <w:r/>
            <w:r>
              <w:rPr>
                <w:b w:val="0"/>
              </w:rPr>
              <w:t>Platform Admin</w:t>
            </w:r>
          </w:p>
        </w:tc>
        <w:tc>
          <w:tcPr>
            <w:tcW w:type="dxa" w:w="2304"/>
            <w:vAlign w:val="center"/>
          </w:tcPr>
          <w:p>
            <w:pPr>
              <w:spacing w:after="0"/>
            </w:pPr>
            <w:r/>
            <w:r>
              <w:rPr>
                <w:b w:val="0"/>
              </w:rPr>
              <w:t>Tenant administrator</w:t>
            </w:r>
          </w:p>
        </w:tc>
        <w:tc>
          <w:tcPr>
            <w:tcW w:type="dxa" w:w="3744"/>
            <w:vAlign w:val="center"/>
          </w:tcPr>
          <w:p>
            <w:pPr>
              <w:spacing w:after="0"/>
            </w:pPr>
            <w:r/>
            <w:r>
              <w:rPr>
                <w:b w:val="0"/>
              </w:rPr>
              <w:t>Manage tenant users/roles, enable frameworks, run assessments, manage AI question review/publish, upload evidence, view tenant modules</w:t>
            </w:r>
          </w:p>
        </w:tc>
        <w:tc>
          <w:tcPr>
            <w:tcW w:type="dxa" w:w="3456"/>
            <w:vAlign w:val="center"/>
          </w:tcPr>
          <w:p>
            <w:pPr>
              <w:spacing w:after="0"/>
            </w:pPr>
            <w:r/>
            <w:r>
              <w:rPr>
                <w:b w:val="0"/>
              </w:rPr>
              <w:t>Scoped to one tenant only; cannot access platform onboarding or global repository management</w:t>
            </w:r>
          </w:p>
        </w:tc>
      </w:tr>
      <w:tr>
        <w:tc>
          <w:tcPr>
            <w:tcW w:type="dxa" w:w="2160"/>
            <w:vAlign w:val="center"/>
          </w:tcPr>
          <w:p>
            <w:pPr>
              <w:spacing w:after="0"/>
            </w:pPr>
            <w:r/>
            <w:r>
              <w:rPr>
                <w:b w:val="0"/>
              </w:rPr>
              <w:t>Compliance Manager</w:t>
            </w:r>
          </w:p>
        </w:tc>
        <w:tc>
          <w:tcPr>
            <w:tcW w:type="dxa" w:w="2304"/>
            <w:vAlign w:val="center"/>
          </w:tcPr>
          <w:p>
            <w:pPr>
              <w:spacing w:after="0"/>
            </w:pPr>
            <w:r/>
            <w:r>
              <w:rPr>
                <w:b w:val="0"/>
              </w:rPr>
              <w:t>Tenant compliance lead</w:t>
            </w:r>
          </w:p>
        </w:tc>
        <w:tc>
          <w:tcPr>
            <w:tcW w:type="dxa" w:w="3744"/>
            <w:vAlign w:val="center"/>
          </w:tcPr>
          <w:p>
            <w:pPr>
              <w:spacing w:after="0"/>
            </w:pPr>
            <w:r/>
            <w:r>
              <w:rPr>
                <w:b w:val="0"/>
              </w:rPr>
              <w:t>Run compliance operations, enable frameworks, create/execute assessments, review AI questions, publish questions, manage evidence and findings</w:t>
            </w:r>
          </w:p>
        </w:tc>
        <w:tc>
          <w:tcPr>
            <w:tcW w:type="dxa" w:w="3456"/>
            <w:vAlign w:val="center"/>
          </w:tcPr>
          <w:p>
            <w:pPr>
              <w:spacing w:after="0"/>
            </w:pPr>
            <w:r/>
            <w:r>
              <w:rPr>
                <w:b w:val="0"/>
              </w:rPr>
              <w:t>No identity administration privileges</w:t>
            </w:r>
          </w:p>
        </w:tc>
      </w:tr>
      <w:tr>
        <w:tc>
          <w:tcPr>
            <w:tcW w:type="dxa" w:w="2160"/>
            <w:vAlign w:val="center"/>
          </w:tcPr>
          <w:p>
            <w:pPr>
              <w:spacing w:after="0"/>
            </w:pPr>
            <w:r/>
            <w:r>
              <w:rPr>
                <w:b w:val="0"/>
              </w:rPr>
              <w:t>Auditor</w:t>
            </w:r>
          </w:p>
        </w:tc>
        <w:tc>
          <w:tcPr>
            <w:tcW w:type="dxa" w:w="2304"/>
            <w:vAlign w:val="center"/>
          </w:tcPr>
          <w:p>
            <w:pPr>
              <w:spacing w:after="0"/>
            </w:pPr>
            <w:r/>
            <w:r>
              <w:rPr>
                <w:b w:val="0"/>
              </w:rPr>
              <w:t>Internal/external reviewer</w:t>
            </w:r>
          </w:p>
        </w:tc>
        <w:tc>
          <w:tcPr>
            <w:tcW w:type="dxa" w:w="3744"/>
            <w:vAlign w:val="center"/>
          </w:tcPr>
          <w:p>
            <w:pPr>
              <w:spacing w:after="0"/>
            </w:pPr>
            <w:r/>
            <w:r>
              <w:rPr>
                <w:b w:val="0"/>
              </w:rPr>
              <w:t>Read/review assessments, evidence, audit logs, framework and harmonization content, reports</w:t>
            </w:r>
          </w:p>
        </w:tc>
        <w:tc>
          <w:tcPr>
            <w:tcW w:type="dxa" w:w="3456"/>
            <w:vAlign w:val="center"/>
          </w:tcPr>
          <w:p>
            <w:pPr>
              <w:spacing w:after="0"/>
            </w:pPr>
            <w:r/>
            <w:r>
              <w:rPr>
                <w:b w:val="0"/>
              </w:rPr>
              <w:t>Generally cannot create assessments, invite users, publish AI content, or modify tenant configuration</w:t>
            </w:r>
          </w:p>
        </w:tc>
      </w:tr>
      <w:tr>
        <w:tc>
          <w:tcPr>
            <w:tcW w:type="dxa" w:w="2160"/>
            <w:vAlign w:val="center"/>
          </w:tcPr>
          <w:p>
            <w:pPr>
              <w:spacing w:after="0"/>
            </w:pPr>
            <w:r/>
            <w:r>
              <w:rPr>
                <w:b w:val="0"/>
              </w:rPr>
              <w:t>Viewer</w:t>
            </w:r>
          </w:p>
        </w:tc>
        <w:tc>
          <w:tcPr>
            <w:tcW w:type="dxa" w:w="2304"/>
            <w:vAlign w:val="center"/>
          </w:tcPr>
          <w:p>
            <w:pPr>
              <w:spacing w:after="0"/>
            </w:pPr>
            <w:r/>
            <w:r>
              <w:rPr>
                <w:b w:val="0"/>
              </w:rPr>
              <w:t>Read-only business stakeholder</w:t>
            </w:r>
          </w:p>
        </w:tc>
        <w:tc>
          <w:tcPr>
            <w:tcW w:type="dxa" w:w="3744"/>
            <w:vAlign w:val="center"/>
          </w:tcPr>
          <w:p>
            <w:pPr>
              <w:spacing w:after="0"/>
            </w:pPr>
            <w:r/>
            <w:r>
              <w:rPr>
                <w:b w:val="0"/>
              </w:rPr>
              <w:t>View low-risk operational views and assessment/report visibility where allowed</w:t>
            </w:r>
          </w:p>
        </w:tc>
        <w:tc>
          <w:tcPr>
            <w:tcW w:type="dxa" w:w="3456"/>
            <w:vAlign w:val="center"/>
          </w:tcPr>
          <w:p>
            <w:pPr>
              <w:spacing w:after="0"/>
            </w:pPr>
            <w:r/>
            <w:r>
              <w:rPr>
                <w:b w:val="0"/>
              </w:rPr>
              <w:t>No write actions, no AI Review access, no User Admin</w:t>
            </w:r>
          </w:p>
        </w:tc>
      </w:tr>
    </w:tbl>
    <w:p/>
    <w:p>
      <w:pPr>
        <w:pStyle w:val="Heading1"/>
      </w:pPr>
      <w:r>
        <w:t>5. Platform Initialization</w:t>
      </w:r>
    </w:p>
    <w:p>
      <w:r>
        <w:t>Platform initialization creates the Cybernara-owned operating plane. The purpose is to establish trusted global content and the platform super-admin identity before customer data is created.</w:t>
      </w:r>
    </w:p>
    <w:p>
      <w:pPr>
        <w:pStyle w:val="ListNumber"/>
      </w:pPr>
      <w:r>
        <w:t>Create approved platform operator accounts as Cybernara internal super-admins.</w:t>
      </w:r>
    </w:p>
    <w:p>
      <w:pPr>
        <w:pStyle w:val="ListNumber"/>
      </w:pPr>
      <w:r>
        <w:t>Load or preserve the canonical framework repository from published source workbook content.</w:t>
      </w:r>
    </w:p>
    <w:p>
      <w:pPr>
        <w:pStyle w:val="ListNumber"/>
      </w:pPr>
      <w:r>
        <w:t>Load harmonized control mappings and global source lineage.</w:t>
      </w:r>
    </w:p>
    <w:p>
      <w:pPr>
        <w:pStyle w:val="ListNumber"/>
      </w:pPr>
      <w:r>
        <w:t>Initialize the global Question Repository and seed curated baseline questions where needed.</w:t>
      </w:r>
    </w:p>
    <w:p>
      <w:pPr>
        <w:pStyle w:val="ListNumber"/>
      </w:pPr>
      <w:r>
        <w:t>Make platform onboarding available to the platform super-admin, not to tenant admins.</w:t>
      </w:r>
    </w:p>
    <w:p>
      <w:pPr>
        <w:pStyle w:val="Heading1"/>
      </w:pPr>
      <w:r>
        <w:t>6. Tenant Onboarding</w:t>
      </w:r>
    </w:p>
    <w:p>
      <w:r>
        <w:t>Tenant onboarding converts a new customer organization into an operational GRC workspace. It creates the tenant boundary and the first customer administrator who can invite the rest of the team.</w:t>
      </w:r>
    </w:p>
    <w:p>
      <w:pPr>
        <w:pStyle w:val="ListNumber"/>
      </w:pPr>
      <w:r>
        <w:t>Platform Super Admin signs in to the platform-level onboarding surface.</w:t>
      </w:r>
    </w:p>
    <w:p>
      <w:pPr>
        <w:pStyle w:val="ListNumber"/>
      </w:pPr>
      <w:r>
        <w:t>Platform Super Admin creates a new client tenant with name and classification.</w:t>
      </w:r>
    </w:p>
    <w:p>
      <w:pPr>
        <w:pStyle w:val="ListNumber"/>
      </w:pPr>
      <w:r>
        <w:t>The backend creates a tenant record with a unique tenant ID.</w:t>
      </w:r>
    </w:p>
    <w:p>
      <w:pPr>
        <w:pStyle w:val="ListNumber"/>
      </w:pPr>
      <w:r>
        <w:t>Platform Super Admin provisions the first tenant-scoped admin user for that tenant.</w:t>
      </w:r>
    </w:p>
    <w:p>
      <w:pPr>
        <w:pStyle w:val="ListNumber"/>
      </w:pPr>
      <w:r>
        <w:t>The admin user is created in Supabase Auth and tenant identity tables with role platform_admin and restricted clearance by default.</w:t>
      </w:r>
    </w:p>
    <w:p>
      <w:pPr>
        <w:pStyle w:val="ListNumber"/>
      </w:pPr>
      <w:r>
        <w:t>The new tenant admin signs in and lands in tenant operational navigation, not the platform onboarding surface.</w:t>
      </w:r>
    </w:p>
    <w:p>
      <w:pPr>
        <w:pStyle w:val="Heading3"/>
      </w:pPr>
      <w:r>
        <w:t>Tenant Onboarding Workflow</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flowchart TD</w:t>
            </w:r>
          </w:p>
          <w:p>
            <w:pPr>
              <w:pStyle w:val="MermaidCode"/>
            </w:pPr>
            <w:r>
              <w:t xml:space="preserve">  A["Platform Super Admin"] --&gt; B["Create client tenant"]</w:t>
            </w:r>
          </w:p>
          <w:p>
            <w:pPr>
              <w:pStyle w:val="MermaidCode"/>
            </w:pPr>
            <w:r>
              <w:t xml:space="preserve">  B --&gt; C["identity_tenants row"]</w:t>
            </w:r>
          </w:p>
          <w:p>
            <w:pPr>
              <w:pStyle w:val="MermaidCode"/>
            </w:pPr>
            <w:r>
              <w:t xml:space="preserve">  C --&gt; D["Invite first tenant admin"]</w:t>
            </w:r>
          </w:p>
          <w:p>
            <w:pPr>
              <w:pStyle w:val="MermaidCode"/>
            </w:pPr>
            <w:r>
              <w:t xml:space="preserve">  D --&gt; E["Supabase Auth user"]</w:t>
            </w:r>
          </w:p>
          <w:p>
            <w:pPr>
              <w:pStyle w:val="MermaidCode"/>
            </w:pPr>
            <w:r>
              <w:t xml:space="preserve">  D --&gt; F["identity_users / role grant"]</w:t>
            </w:r>
          </w:p>
          <w:p>
            <w:pPr>
              <w:pStyle w:val="MermaidCode"/>
            </w:pPr>
            <w:r>
              <w:t xml:space="preserve">  F --&gt; G["Tenant Platform Admin first login"]</w:t>
            </w:r>
          </w:p>
          <w:p>
            <w:pPr>
              <w:pStyle w:val="MermaidCode"/>
            </w:pPr>
            <w:r>
              <w:t xml:space="preserve">  G --&gt; H["Tenant operations console"]</w:t>
            </w:r>
          </w:p>
        </w:tc>
      </w:tr>
    </w:tbl>
    <w:p/>
    <w:p>
      <w:pPr>
        <w:pStyle w:val="Heading1"/>
      </w:pPr>
      <w:r>
        <w:t>7. User Onboarding</w:t>
      </w:r>
    </w:p>
    <w:p>
      <w:r>
        <w:t>User onboarding gives the customer a controlled way to delegate assessment, review, and read-only responsibilities. It enforces least privilege through role, scope, and clearance assignment.</w:t>
      </w:r>
    </w:p>
    <w:p>
      <w:pPr>
        <w:pStyle w:val="ListNumber"/>
      </w:pPr>
      <w:r>
        <w:t>Tenant Platform Admin opens User Admin.</w:t>
      </w:r>
    </w:p>
    <w:p>
      <w:pPr>
        <w:pStyle w:val="ListNumber"/>
      </w:pPr>
      <w:r>
        <w:t>Admin enters email, display name, initial role, and clearance.</w:t>
      </w:r>
    </w:p>
    <w:p>
      <w:pPr>
        <w:pStyle w:val="ListNumber"/>
      </w:pPr>
      <w:r>
        <w:t>Backend creates or links a Supabase Auth user and creates tenant identity records.</w:t>
      </w:r>
    </w:p>
    <w:p>
      <w:pPr>
        <w:pStyle w:val="ListNumber"/>
      </w:pPr>
      <w:r>
        <w:t>User receives a temporary credential through an approved channel.</w:t>
      </w:r>
    </w:p>
    <w:p>
      <w:pPr>
        <w:pStyle w:val="ListNumber"/>
      </w:pPr>
      <w:r>
        <w:t>On first login, the user sees only navigation permitted by role and scopes.</w:t>
      </w:r>
    </w:p>
    <w:p>
      <w:pPr>
        <w:pStyle w:val="ListNumber"/>
      </w:pPr>
      <w:r>
        <w:t>Role or clearance changes are made in User Admin and reflected in future authorization checks.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016"/>
            <w:vAlign w:val="center"/>
            <w:shd w:fill="1F2937"/>
          </w:tcPr>
          <w:p>
            <w:pPr>
              <w:spacing w:after="0"/>
            </w:pPr>
            <w:r/>
            <w:r>
              <w:rPr>
                <w:b/>
                <w:color w:val="FFFFFF"/>
              </w:rPr>
              <w:t>Tenant role</w:t>
            </w:r>
          </w:p>
        </w:tc>
        <w:tc>
          <w:tcPr>
            <w:tcW w:type="dxa" w:w="1440"/>
            <w:vAlign w:val="center"/>
            <w:shd w:fill="1F2937"/>
          </w:tcPr>
          <w:p>
            <w:pPr>
              <w:spacing w:after="0"/>
            </w:pPr>
            <w:r/>
            <w:r>
              <w:rPr>
                <w:b/>
                <w:color w:val="FFFFFF"/>
              </w:rPr>
              <w:t>User admin</w:t>
            </w:r>
          </w:p>
        </w:tc>
        <w:tc>
          <w:tcPr>
            <w:tcW w:type="dxa" w:w="1728"/>
            <w:vAlign w:val="center"/>
            <w:shd w:fill="1F2937"/>
          </w:tcPr>
          <w:p>
            <w:pPr>
              <w:spacing w:after="0"/>
            </w:pPr>
            <w:r/>
            <w:r>
              <w:rPr>
                <w:b/>
                <w:color w:val="FFFFFF"/>
              </w:rPr>
              <w:t>Frameworks</w:t>
            </w:r>
          </w:p>
        </w:tc>
        <w:tc>
          <w:tcPr>
            <w:tcW w:type="dxa" w:w="1728"/>
            <w:vAlign w:val="center"/>
            <w:shd w:fill="1F2937"/>
          </w:tcPr>
          <w:p>
            <w:pPr>
              <w:spacing w:after="0"/>
            </w:pPr>
            <w:r/>
            <w:r>
              <w:rPr>
                <w:b/>
                <w:color w:val="FFFFFF"/>
              </w:rPr>
              <w:t>Assessments</w:t>
            </w:r>
          </w:p>
        </w:tc>
        <w:tc>
          <w:tcPr>
            <w:tcW w:type="dxa" w:w="1440"/>
            <w:vAlign w:val="center"/>
            <w:shd w:fill="1F2937"/>
          </w:tcPr>
          <w:p>
            <w:pPr>
              <w:spacing w:after="0"/>
            </w:pPr>
            <w:r/>
            <w:r>
              <w:rPr>
                <w:b/>
                <w:color w:val="FFFFFF"/>
              </w:rPr>
              <w:t>AI publish</w:t>
            </w:r>
          </w:p>
        </w:tc>
        <w:tc>
          <w:tcPr>
            <w:tcW w:type="dxa" w:w="1728"/>
            <w:vAlign w:val="center"/>
            <w:shd w:fill="1F2937"/>
          </w:tcPr>
          <w:p>
            <w:pPr>
              <w:spacing w:after="0"/>
            </w:pPr>
            <w:r/>
            <w:r>
              <w:rPr>
                <w:b/>
                <w:color w:val="FFFFFF"/>
              </w:rPr>
              <w:t>Evidence</w:t>
            </w:r>
          </w:p>
        </w:tc>
        <w:tc>
          <w:tcPr>
            <w:tcW w:type="dxa" w:w="1440"/>
            <w:vAlign w:val="center"/>
            <w:shd w:fill="1F2937"/>
          </w:tcPr>
          <w:p>
            <w:pPr>
              <w:spacing w:after="0"/>
            </w:pPr>
            <w:r/>
            <w:r>
              <w:rPr>
                <w:b/>
                <w:color w:val="FFFFFF"/>
              </w:rPr>
              <w:t>Reports</w:t>
            </w:r>
          </w:p>
        </w:tc>
      </w:tr>
      <w:tr>
        <w:tc>
          <w:tcPr>
            <w:tcW w:type="dxa" w:w="2016"/>
            <w:vAlign w:val="center"/>
          </w:tcPr>
          <w:p>
            <w:pPr>
              <w:spacing w:after="0"/>
            </w:pPr>
            <w:r/>
            <w:r>
              <w:rPr>
                <w:b w:val="0"/>
              </w:rPr>
              <w:t>Platform Admin</w:t>
            </w:r>
          </w:p>
        </w:tc>
        <w:tc>
          <w:tcPr>
            <w:tcW w:type="dxa" w:w="1440"/>
            <w:vAlign w:val="center"/>
          </w:tcPr>
          <w:p>
            <w:pPr>
              <w:spacing w:after="0"/>
            </w:pPr>
            <w:r/>
            <w:r>
              <w:rPr>
                <w:b w:val="0"/>
              </w:rPr>
              <w:t>Yes</w:t>
            </w:r>
          </w:p>
        </w:tc>
        <w:tc>
          <w:tcPr>
            <w:tcW w:type="dxa" w:w="1728"/>
            <w:vAlign w:val="center"/>
          </w:tcPr>
          <w:p>
            <w:pPr>
              <w:spacing w:after="0"/>
            </w:pPr>
            <w:r/>
            <w:r>
              <w:rPr>
                <w:b w:val="0"/>
              </w:rPr>
              <w:t>Yes</w:t>
            </w:r>
          </w:p>
        </w:tc>
        <w:tc>
          <w:tcPr>
            <w:tcW w:type="dxa" w:w="1728"/>
            <w:vAlign w:val="center"/>
          </w:tcPr>
          <w:p>
            <w:pPr>
              <w:spacing w:after="0"/>
            </w:pPr>
            <w:r/>
            <w:r>
              <w:rPr>
                <w:b w:val="0"/>
              </w:rPr>
              <w:t>Yes</w:t>
            </w:r>
          </w:p>
        </w:tc>
        <w:tc>
          <w:tcPr>
            <w:tcW w:type="dxa" w:w="1440"/>
            <w:vAlign w:val="center"/>
          </w:tcPr>
          <w:p>
            <w:pPr>
              <w:spacing w:after="0"/>
            </w:pPr>
            <w:r/>
            <w:r>
              <w:rPr>
                <w:b w:val="0"/>
              </w:rPr>
              <w:t>Yes</w:t>
            </w:r>
          </w:p>
        </w:tc>
        <w:tc>
          <w:tcPr>
            <w:tcW w:type="dxa" w:w="1728"/>
            <w:vAlign w:val="center"/>
          </w:tcPr>
          <w:p>
            <w:pPr>
              <w:spacing w:after="0"/>
            </w:pPr>
            <w:r/>
            <w:r>
              <w:rPr>
                <w:b w:val="0"/>
              </w:rPr>
              <w:t>Yes</w:t>
            </w:r>
          </w:p>
        </w:tc>
        <w:tc>
          <w:tcPr>
            <w:tcW w:type="dxa" w:w="1440"/>
            <w:vAlign w:val="center"/>
          </w:tcPr>
          <w:p>
            <w:pPr>
              <w:spacing w:after="0"/>
            </w:pPr>
            <w:r/>
            <w:r>
              <w:rPr>
                <w:b w:val="0"/>
              </w:rPr>
              <w:t>Yes</w:t>
            </w:r>
          </w:p>
        </w:tc>
      </w:tr>
      <w:tr>
        <w:tc>
          <w:tcPr>
            <w:tcW w:type="dxa" w:w="2016"/>
            <w:vAlign w:val="center"/>
          </w:tcPr>
          <w:p>
            <w:pPr>
              <w:spacing w:after="0"/>
            </w:pPr>
            <w:r/>
            <w:r>
              <w:rPr>
                <w:b w:val="0"/>
              </w:rPr>
              <w:t>Compliance Manager</w:t>
            </w:r>
          </w:p>
        </w:tc>
        <w:tc>
          <w:tcPr>
            <w:tcW w:type="dxa" w:w="1440"/>
            <w:vAlign w:val="center"/>
          </w:tcPr>
          <w:p>
            <w:pPr>
              <w:spacing w:after="0"/>
            </w:pPr>
            <w:r/>
            <w:r>
              <w:rPr>
                <w:b w:val="0"/>
              </w:rPr>
              <w:t>No</w:t>
            </w:r>
          </w:p>
        </w:tc>
        <w:tc>
          <w:tcPr>
            <w:tcW w:type="dxa" w:w="1728"/>
            <w:vAlign w:val="center"/>
          </w:tcPr>
          <w:p>
            <w:pPr>
              <w:spacing w:after="0"/>
            </w:pPr>
            <w:r/>
            <w:r>
              <w:rPr>
                <w:b w:val="0"/>
              </w:rPr>
              <w:t>Yes</w:t>
            </w:r>
          </w:p>
        </w:tc>
        <w:tc>
          <w:tcPr>
            <w:tcW w:type="dxa" w:w="1728"/>
            <w:vAlign w:val="center"/>
          </w:tcPr>
          <w:p>
            <w:pPr>
              <w:spacing w:after="0"/>
            </w:pPr>
            <w:r/>
            <w:r>
              <w:rPr>
                <w:b w:val="0"/>
              </w:rPr>
              <w:t>Yes</w:t>
            </w:r>
          </w:p>
        </w:tc>
        <w:tc>
          <w:tcPr>
            <w:tcW w:type="dxa" w:w="1440"/>
            <w:vAlign w:val="center"/>
          </w:tcPr>
          <w:p>
            <w:pPr>
              <w:spacing w:after="0"/>
            </w:pPr>
            <w:r/>
            <w:r>
              <w:rPr>
                <w:b w:val="0"/>
              </w:rPr>
              <w:t>Yes</w:t>
            </w:r>
          </w:p>
        </w:tc>
        <w:tc>
          <w:tcPr>
            <w:tcW w:type="dxa" w:w="1728"/>
            <w:vAlign w:val="center"/>
          </w:tcPr>
          <w:p>
            <w:pPr>
              <w:spacing w:after="0"/>
            </w:pPr>
            <w:r/>
            <w:r>
              <w:rPr>
                <w:b w:val="0"/>
              </w:rPr>
              <w:t>Yes</w:t>
            </w:r>
          </w:p>
        </w:tc>
        <w:tc>
          <w:tcPr>
            <w:tcW w:type="dxa" w:w="1440"/>
            <w:vAlign w:val="center"/>
          </w:tcPr>
          <w:p>
            <w:pPr>
              <w:spacing w:after="0"/>
            </w:pPr>
            <w:r/>
            <w:r>
              <w:rPr>
                <w:b w:val="0"/>
              </w:rPr>
              <w:t>Yes</w:t>
            </w:r>
          </w:p>
        </w:tc>
      </w:tr>
      <w:tr>
        <w:tc>
          <w:tcPr>
            <w:tcW w:type="dxa" w:w="2016"/>
            <w:vAlign w:val="center"/>
          </w:tcPr>
          <w:p>
            <w:pPr>
              <w:spacing w:after="0"/>
            </w:pPr>
            <w:r/>
            <w:r>
              <w:rPr>
                <w:b w:val="0"/>
              </w:rPr>
              <w:t>Auditor</w:t>
            </w:r>
          </w:p>
        </w:tc>
        <w:tc>
          <w:tcPr>
            <w:tcW w:type="dxa" w:w="1440"/>
            <w:vAlign w:val="center"/>
          </w:tcPr>
          <w:p>
            <w:pPr>
              <w:spacing w:after="0"/>
            </w:pPr>
            <w:r/>
            <w:r>
              <w:rPr>
                <w:b w:val="0"/>
              </w:rPr>
              <w:t>No</w:t>
            </w:r>
          </w:p>
        </w:tc>
        <w:tc>
          <w:tcPr>
            <w:tcW w:type="dxa" w:w="1728"/>
            <w:vAlign w:val="center"/>
          </w:tcPr>
          <w:p>
            <w:pPr>
              <w:spacing w:after="0"/>
            </w:pPr>
            <w:r/>
            <w:r>
              <w:rPr>
                <w:b w:val="0"/>
              </w:rPr>
              <w:t>Read/review</w:t>
            </w:r>
          </w:p>
        </w:tc>
        <w:tc>
          <w:tcPr>
            <w:tcW w:type="dxa" w:w="1728"/>
            <w:vAlign w:val="center"/>
          </w:tcPr>
          <w:p>
            <w:pPr>
              <w:spacing w:after="0"/>
            </w:pPr>
            <w:r/>
            <w:r>
              <w:rPr>
                <w:b w:val="0"/>
              </w:rPr>
              <w:t>Read</w:t>
            </w:r>
          </w:p>
        </w:tc>
        <w:tc>
          <w:tcPr>
            <w:tcW w:type="dxa" w:w="1440"/>
            <w:vAlign w:val="center"/>
          </w:tcPr>
          <w:p>
            <w:pPr>
              <w:spacing w:after="0"/>
            </w:pPr>
            <w:r/>
            <w:r>
              <w:rPr>
                <w:b w:val="0"/>
              </w:rPr>
              <w:t>No</w:t>
            </w:r>
          </w:p>
        </w:tc>
        <w:tc>
          <w:tcPr>
            <w:tcW w:type="dxa" w:w="1728"/>
            <w:vAlign w:val="center"/>
          </w:tcPr>
          <w:p>
            <w:pPr>
              <w:spacing w:after="0"/>
            </w:pPr>
            <w:r/>
            <w:r>
              <w:rPr>
                <w:b w:val="0"/>
              </w:rPr>
              <w:t>Review/read</w:t>
            </w:r>
          </w:p>
        </w:tc>
        <w:tc>
          <w:tcPr>
            <w:tcW w:type="dxa" w:w="1440"/>
            <w:vAlign w:val="center"/>
          </w:tcPr>
          <w:p>
            <w:pPr>
              <w:spacing w:after="0"/>
            </w:pPr>
            <w:r/>
            <w:r>
              <w:rPr>
                <w:b w:val="0"/>
              </w:rPr>
              <w:t>Read</w:t>
            </w:r>
          </w:p>
        </w:tc>
      </w:tr>
      <w:tr>
        <w:tc>
          <w:tcPr>
            <w:tcW w:type="dxa" w:w="2016"/>
            <w:vAlign w:val="center"/>
          </w:tcPr>
          <w:p>
            <w:pPr>
              <w:spacing w:after="0"/>
            </w:pPr>
            <w:r/>
            <w:r>
              <w:rPr>
                <w:b w:val="0"/>
              </w:rPr>
              <w:t>Viewer</w:t>
            </w:r>
          </w:p>
        </w:tc>
        <w:tc>
          <w:tcPr>
            <w:tcW w:type="dxa" w:w="1440"/>
            <w:vAlign w:val="center"/>
          </w:tcPr>
          <w:p>
            <w:pPr>
              <w:spacing w:after="0"/>
            </w:pPr>
            <w:r/>
            <w:r>
              <w:rPr>
                <w:b w:val="0"/>
              </w:rPr>
              <w:t>No</w:t>
            </w:r>
          </w:p>
        </w:tc>
        <w:tc>
          <w:tcPr>
            <w:tcW w:type="dxa" w:w="1728"/>
            <w:vAlign w:val="center"/>
          </w:tcPr>
          <w:p>
            <w:pPr>
              <w:spacing w:after="0"/>
            </w:pPr>
            <w:r/>
            <w:r>
              <w:rPr>
                <w:b w:val="0"/>
              </w:rPr>
              <w:t>Read</w:t>
            </w:r>
          </w:p>
        </w:tc>
        <w:tc>
          <w:tcPr>
            <w:tcW w:type="dxa" w:w="1728"/>
            <w:vAlign w:val="center"/>
          </w:tcPr>
          <w:p>
            <w:pPr>
              <w:spacing w:after="0"/>
            </w:pPr>
            <w:r/>
            <w:r>
              <w:rPr>
                <w:b w:val="0"/>
              </w:rPr>
              <w:t>Read</w:t>
            </w:r>
          </w:p>
        </w:tc>
        <w:tc>
          <w:tcPr>
            <w:tcW w:type="dxa" w:w="1440"/>
            <w:vAlign w:val="center"/>
          </w:tcPr>
          <w:p>
            <w:pPr>
              <w:spacing w:after="0"/>
            </w:pPr>
            <w:r/>
            <w:r>
              <w:rPr>
                <w:b w:val="0"/>
              </w:rPr>
              <w:t>No</w:t>
            </w:r>
          </w:p>
        </w:tc>
        <w:tc>
          <w:tcPr>
            <w:tcW w:type="dxa" w:w="1728"/>
            <w:vAlign w:val="center"/>
          </w:tcPr>
          <w:p>
            <w:pPr>
              <w:spacing w:after="0"/>
            </w:pPr>
            <w:r/>
            <w:r>
              <w:rPr>
                <w:b w:val="0"/>
              </w:rPr>
              <w:t>Read/assigned</w:t>
            </w:r>
          </w:p>
        </w:tc>
        <w:tc>
          <w:tcPr>
            <w:tcW w:type="dxa" w:w="1440"/>
            <w:vAlign w:val="center"/>
          </w:tcPr>
          <w:p>
            <w:pPr>
              <w:spacing w:after="0"/>
            </w:pPr>
            <w:r/>
            <w:r>
              <w:rPr>
                <w:b w:val="0"/>
              </w:rPr>
              <w:t>Read</w:t>
            </w:r>
          </w:p>
        </w:tc>
      </w:tr>
    </w:tbl>
    <w:p/>
    <w:p>
      <w:pPr>
        <w:pStyle w:val="Heading3"/>
      </w:pPr>
      <w:r>
        <w:t>User Onboarding Workflow</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flowchart TD</w:t>
            </w:r>
          </w:p>
          <w:p>
            <w:pPr>
              <w:pStyle w:val="MermaidCode"/>
            </w:pPr>
            <w:r>
              <w:t xml:space="preserve">  A["Tenant Platform Admin"] --&gt; B["Invite user"]</w:t>
            </w:r>
          </w:p>
          <w:p>
            <w:pPr>
              <w:pStyle w:val="MermaidCode"/>
            </w:pPr>
            <w:r>
              <w:t xml:space="preserve">  B --&gt; C["Role selected"]</w:t>
            </w:r>
          </w:p>
          <w:p>
            <w:pPr>
              <w:pStyle w:val="MermaidCode"/>
            </w:pPr>
            <w:r>
              <w:t xml:space="preserve">  B --&gt; D["Clearance selected"]</w:t>
            </w:r>
          </w:p>
          <w:p>
            <w:pPr>
              <w:pStyle w:val="MermaidCode"/>
            </w:pPr>
            <w:r>
              <w:t xml:space="preserve">  C --&gt; E["Supabase Auth user"]</w:t>
            </w:r>
          </w:p>
          <w:p>
            <w:pPr>
              <w:pStyle w:val="MermaidCode"/>
            </w:pPr>
            <w:r>
              <w:t xml:space="preserve">  D --&gt; F["identity role grant"]</w:t>
            </w:r>
          </w:p>
          <w:p>
            <w:pPr>
              <w:pStyle w:val="MermaidCode"/>
            </w:pPr>
            <w:r>
              <w:t xml:space="preserve">  E --&gt; G["First login"]</w:t>
            </w:r>
          </w:p>
          <w:p>
            <w:pPr>
              <w:pStyle w:val="MermaidCode"/>
            </w:pPr>
            <w:r>
              <w:t xml:space="preserve">  F --&gt; H["PolicyGuard evaluates role, scope, clearance"]</w:t>
            </w:r>
          </w:p>
          <w:p>
            <w:pPr>
              <w:pStyle w:val="MermaidCode"/>
            </w:pPr>
            <w:r>
              <w:t xml:space="preserve">  H --&gt; I["Role-specific navigation and actions"]</w:t>
            </w:r>
          </w:p>
        </w:tc>
      </w:tr>
    </w:tbl>
    <w:p/>
    <w:p>
      <w:pPr>
        <w:pStyle w:val="Heading1"/>
      </w:pPr>
      <w:r>
        <w:t>8. Framework Enablement</w:t>
      </w:r>
    </w:p>
    <w:p>
      <w:r>
        <w:t>Framework enablement lets a tenant declare which compliance frameworks and published versions apply to their program. This prevents downstream pages from offering questions, AI generation scope, or mappings for frameworks the customer has not enabled.</w:t>
      </w:r>
    </w:p>
    <w:p>
      <w:pPr>
        <w:pStyle w:val="ListNumber"/>
      </w:pPr>
      <w:r>
        <w:t>Global framework content is ingested and published by Cybernara.</w:t>
      </w:r>
    </w:p>
    <w:p>
      <w:pPr>
        <w:pStyle w:val="ListNumber"/>
      </w:pPr>
      <w:r>
        <w:t>Tenant Platform Admin or Compliance Manager browses Framework Library.</w:t>
      </w:r>
    </w:p>
    <w:p>
      <w:pPr>
        <w:pStyle w:val="ListNumber"/>
      </w:pPr>
      <w:r>
        <w:t>User enables a published framework version.</w:t>
      </w:r>
    </w:p>
    <w:p>
      <w:pPr>
        <w:pStyle w:val="ListNumber"/>
      </w:pPr>
      <w:r>
        <w:t>A tenant_catalog_subscriptions record marks that version active for the tenant.</w:t>
      </w:r>
    </w:p>
    <w:p>
      <w:pPr>
        <w:pStyle w:val="ListNumber"/>
      </w:pPr>
      <w:r>
        <w:t>Curated baseline questions are seeded idempotently for newly enabled content where needed.</w:t>
      </w:r>
    </w:p>
    <w:p>
      <w:pPr>
        <w:pStyle w:val="ListNumber"/>
      </w:pPr>
      <w:r>
        <w:t>Assessment Creation, AI Review, and Harmonization use the tenant-enabled set, not the full global catalog.</w:t>
      </w:r>
    </w:p>
    <w:p>
      <w:pPr>
        <w:pStyle w:val="Heading3"/>
      </w:pPr>
      <w:r>
        <w:t>Framework Enablement Workflow</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flowchart TD</w:t>
            </w:r>
          </w:p>
          <w:p>
            <w:pPr>
              <w:pStyle w:val="MermaidCode"/>
            </w:pPr>
            <w:r>
              <w:t xml:space="preserve">  A["Canonical framework repository"] --&gt; B["Published framework version"]</w:t>
            </w:r>
          </w:p>
          <w:p>
            <w:pPr>
              <w:pStyle w:val="MermaidCode"/>
            </w:pPr>
            <w:r>
              <w:t xml:space="preserve">  B --&gt; C["Tenant selects enable"]</w:t>
            </w:r>
          </w:p>
          <w:p>
            <w:pPr>
              <w:pStyle w:val="MermaidCode"/>
            </w:pPr>
            <w:r>
              <w:t xml:space="preserve">  C --&gt; D["tenant_catalog_subscriptions active row"]</w:t>
            </w:r>
          </w:p>
          <w:p>
            <w:pPr>
              <w:pStyle w:val="MermaidCode"/>
            </w:pPr>
            <w:r>
              <w:t xml:space="preserve">  D --&gt; E["Enabled framework list"]</w:t>
            </w:r>
          </w:p>
          <w:p>
            <w:pPr>
              <w:pStyle w:val="MermaidCode"/>
            </w:pPr>
            <w:r>
              <w:t xml:space="preserve">  E --&gt; F["Question options"]</w:t>
            </w:r>
          </w:p>
          <w:p>
            <w:pPr>
              <w:pStyle w:val="MermaidCode"/>
            </w:pPr>
            <w:r>
              <w:t xml:space="preserve">  E --&gt; G["AI framework scope"]</w:t>
            </w:r>
          </w:p>
          <w:p>
            <w:pPr>
              <w:pStyle w:val="MermaidCode"/>
            </w:pPr>
            <w:r>
              <w:t xml:space="preserve">  E --&gt; H["Harmonization filters"]</w:t>
            </w:r>
          </w:p>
        </w:tc>
      </w:tr>
    </w:tbl>
    <w:p/>
    <w:p>
      <w:pPr>
        <w:pStyle w:val="Heading1"/>
      </w:pPr>
      <w:r>
        <w:t>9. Question Repository</w:t>
      </w:r>
    </w:p>
    <w:p>
      <w:r>
        <w:t>The Question Repository is the governed source of assessment questions. It prevents every assessment from creating ad hoc questions, keeps approved content reusable, and ensures every assessment item can be traced to a versioned question and its source control lineage.</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2937"/>
          </w:tcPr>
          <w:p>
            <w:pPr>
              <w:spacing w:after="0"/>
            </w:pPr>
            <w:r/>
            <w:r>
              <w:rPr>
                <w:b/>
                <w:color w:val="FFFFFF"/>
              </w:rPr>
              <w:t>Object</w:t>
            </w:r>
          </w:p>
        </w:tc>
        <w:tc>
          <w:tcPr>
            <w:tcW w:type="dxa" w:w="8208"/>
            <w:vAlign w:val="center"/>
            <w:shd w:fill="1F2937"/>
          </w:tcPr>
          <w:p>
            <w:pPr>
              <w:spacing w:after="0"/>
            </w:pPr>
            <w:r/>
            <w:r>
              <w:rPr>
                <w:b/>
                <w:color w:val="FFFFFF"/>
              </w:rPr>
              <w:t>Purpose</w:t>
            </w:r>
          </w:p>
        </w:tc>
      </w:tr>
      <w:tr>
        <w:tc>
          <w:tcPr>
            <w:tcW w:type="dxa" w:w="2592"/>
            <w:vAlign w:val="center"/>
          </w:tcPr>
          <w:p>
            <w:pPr>
              <w:spacing w:after="0"/>
            </w:pPr>
            <w:r/>
            <w:r>
              <w:rPr>
                <w:b w:val="0"/>
              </w:rPr>
              <w:t>Harmonized Control</w:t>
            </w:r>
          </w:p>
        </w:tc>
        <w:tc>
          <w:tcPr>
            <w:tcW w:type="dxa" w:w="8208"/>
            <w:vAlign w:val="center"/>
          </w:tcPr>
          <w:p>
            <w:pPr>
              <w:spacing w:after="0"/>
            </w:pPr>
            <w:r/>
            <w:r>
              <w:rPr>
                <w:b w:val="0"/>
              </w:rPr>
              <w:t>The normalized control concept shared across frameworks.</w:t>
            </w:r>
          </w:p>
        </w:tc>
      </w:tr>
      <w:tr>
        <w:tc>
          <w:tcPr>
            <w:tcW w:type="dxa" w:w="2592"/>
            <w:vAlign w:val="center"/>
          </w:tcPr>
          <w:p>
            <w:pPr>
              <w:spacing w:after="0"/>
            </w:pPr>
            <w:r/>
            <w:r>
              <w:rPr>
                <w:b w:val="0"/>
              </w:rPr>
              <w:t>Question Set</w:t>
            </w:r>
          </w:p>
        </w:tc>
        <w:tc>
          <w:tcPr>
            <w:tcW w:type="dxa" w:w="8208"/>
            <w:vAlign w:val="center"/>
          </w:tcPr>
          <w:p>
            <w:pPr>
              <w:spacing w:after="0"/>
            </w:pPr>
            <w:r/>
            <w:r>
              <w:rPr>
                <w:b w:val="0"/>
              </w:rPr>
              <w:t>A logical grouping of questions for a harmonized control and source type.</w:t>
            </w:r>
          </w:p>
        </w:tc>
      </w:tr>
      <w:tr>
        <w:tc>
          <w:tcPr>
            <w:tcW w:type="dxa" w:w="2592"/>
            <w:vAlign w:val="center"/>
          </w:tcPr>
          <w:p>
            <w:pPr>
              <w:spacing w:after="0"/>
            </w:pPr>
            <w:r/>
            <w:r>
              <w:rPr>
                <w:b w:val="0"/>
              </w:rPr>
              <w:t>Question Version</w:t>
            </w:r>
          </w:p>
        </w:tc>
        <w:tc>
          <w:tcPr>
            <w:tcW w:type="dxa" w:w="8208"/>
            <w:vAlign w:val="center"/>
          </w:tcPr>
          <w:p>
            <w:pPr>
              <w:spacing w:after="0"/>
            </w:pPr>
            <w:r/>
            <w:r>
              <w:rPr>
                <w:b w:val="0"/>
              </w:rPr>
              <w:t>An immutable version of question text, response type, evidence expectations, citations, confidence, status, and provenance.</w:t>
            </w:r>
          </w:p>
        </w:tc>
      </w:tr>
      <w:tr>
        <w:tc>
          <w:tcPr>
            <w:tcW w:type="dxa" w:w="2592"/>
            <w:vAlign w:val="center"/>
          </w:tcPr>
          <w:p>
            <w:pPr>
              <w:spacing w:after="0"/>
            </w:pPr>
            <w:r/>
            <w:r>
              <w:rPr>
                <w:b w:val="0"/>
              </w:rPr>
              <w:t>Assessment Item</w:t>
            </w:r>
          </w:p>
        </w:tc>
        <w:tc>
          <w:tcPr>
            <w:tcW w:type="dxa" w:w="8208"/>
            <w:vAlign w:val="center"/>
          </w:tcPr>
          <w:p>
            <w:pPr>
              <w:spacing w:after="0"/>
            </w:pPr>
            <w:r/>
            <w:r>
              <w:rPr>
                <w:b w:val="0"/>
              </w:rPr>
              <w:t>A tenant-specific execution record that pins a selected question version at assessment creation time.</w:t>
            </w:r>
          </w:p>
        </w:tc>
      </w:tr>
    </w:tbl>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F2937"/>
          </w:tcPr>
          <w:p>
            <w:pPr>
              <w:spacing w:after="0"/>
            </w:pPr>
            <w:r/>
            <w:r>
              <w:rPr>
                <w:b/>
                <w:color w:val="FFFFFF"/>
              </w:rPr>
              <w:t>Response type</w:t>
            </w:r>
          </w:p>
        </w:tc>
        <w:tc>
          <w:tcPr>
            <w:tcW w:type="dxa" w:w="8496"/>
            <w:vAlign w:val="center"/>
            <w:shd w:fill="1F2937"/>
          </w:tcPr>
          <w:p>
            <w:pPr>
              <w:spacing w:after="0"/>
            </w:pPr>
            <w:r/>
            <w:r>
              <w:rPr>
                <w:b/>
                <w:color w:val="FFFFFF"/>
              </w:rPr>
              <w:t>Assessment execution behavior</w:t>
            </w:r>
          </w:p>
        </w:tc>
      </w:tr>
      <w:tr>
        <w:tc>
          <w:tcPr>
            <w:tcW w:type="dxa" w:w="2304"/>
            <w:vAlign w:val="center"/>
          </w:tcPr>
          <w:p>
            <w:pPr>
              <w:spacing w:after="0"/>
            </w:pPr>
            <w:r/>
            <w:r>
              <w:rPr>
                <w:b w:val="0"/>
              </w:rPr>
              <w:t>boolean</w:t>
            </w:r>
          </w:p>
        </w:tc>
        <w:tc>
          <w:tcPr>
            <w:tcW w:type="dxa" w:w="8496"/>
            <w:vAlign w:val="center"/>
          </w:tcPr>
          <w:p>
            <w:pPr>
              <w:spacing w:after="0"/>
            </w:pPr>
            <w:r/>
            <w:r>
              <w:rPr>
                <w:b w:val="0"/>
              </w:rPr>
              <w:t>Yes/No response</w:t>
            </w:r>
          </w:p>
        </w:tc>
      </w:tr>
      <w:tr>
        <w:tc>
          <w:tcPr>
            <w:tcW w:type="dxa" w:w="2304"/>
            <w:vAlign w:val="center"/>
          </w:tcPr>
          <w:p>
            <w:pPr>
              <w:spacing w:after="0"/>
            </w:pPr>
            <w:r/>
            <w:r>
              <w:rPr>
                <w:b w:val="0"/>
              </w:rPr>
              <w:t>text</w:t>
            </w:r>
          </w:p>
        </w:tc>
        <w:tc>
          <w:tcPr>
            <w:tcW w:type="dxa" w:w="8496"/>
            <w:vAlign w:val="center"/>
          </w:tcPr>
          <w:p>
            <w:pPr>
              <w:spacing w:after="0"/>
            </w:pPr>
            <w:r/>
            <w:r>
              <w:rPr>
                <w:b w:val="0"/>
              </w:rPr>
              <w:t>Narrative free-text response</w:t>
            </w:r>
          </w:p>
        </w:tc>
      </w:tr>
      <w:tr>
        <w:tc>
          <w:tcPr>
            <w:tcW w:type="dxa" w:w="2304"/>
            <w:vAlign w:val="center"/>
          </w:tcPr>
          <w:p>
            <w:pPr>
              <w:spacing w:after="0"/>
            </w:pPr>
            <w:r/>
            <w:r>
              <w:rPr>
                <w:b w:val="0"/>
              </w:rPr>
              <w:t>maturity</w:t>
            </w:r>
          </w:p>
        </w:tc>
        <w:tc>
          <w:tcPr>
            <w:tcW w:type="dxa" w:w="8496"/>
            <w:vAlign w:val="center"/>
          </w:tcPr>
          <w:p>
            <w:pPr>
              <w:spacing w:after="0"/>
            </w:pPr>
            <w:r/>
            <w:r>
              <w:rPr>
                <w:b w:val="0"/>
              </w:rPr>
              <w:t>Maturity level selector, generally 1 through 5</w:t>
            </w:r>
          </w:p>
        </w:tc>
      </w:tr>
      <w:tr>
        <w:tc>
          <w:tcPr>
            <w:tcW w:type="dxa" w:w="2304"/>
            <w:vAlign w:val="center"/>
          </w:tcPr>
          <w:p>
            <w:pPr>
              <w:spacing w:after="0"/>
            </w:pPr>
            <w:r/>
            <w:r>
              <w:rPr>
                <w:b w:val="0"/>
              </w:rPr>
              <w:t>multi_select</w:t>
            </w:r>
          </w:p>
        </w:tc>
        <w:tc>
          <w:tcPr>
            <w:tcW w:type="dxa" w:w="8496"/>
            <w:vAlign w:val="center"/>
          </w:tcPr>
          <w:p>
            <w:pPr>
              <w:spacing w:after="0"/>
            </w:pPr>
            <w:r/>
            <w:r>
              <w:rPr>
                <w:b w:val="0"/>
              </w:rPr>
              <w:t>Checkbox list for multiple supported practices or evidence-backed choices</w:t>
            </w:r>
          </w:p>
        </w:tc>
      </w:tr>
    </w:tbl>
    <w:p/>
    <w:p>
      <w:r>
        <w:t>Question versions move through lifecycle states such as draft, pending review, approved, rejected, inactive, retired, or deprecated. Only active approved versions are selectable for new assessment creation. Historical assessment items remain linked to the question version selected at creation time.</w:t>
      </w:r>
    </w:p>
    <w:p>
      <w:pPr>
        <w:pStyle w:val="Heading3"/>
      </w:pPr>
      <w:r>
        <w:t>Question Lifecycle</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stateDiagram-v2</w:t>
            </w:r>
          </w:p>
          <w:p>
            <w:pPr>
              <w:pStyle w:val="MermaidCode"/>
            </w:pPr>
            <w:r>
              <w:t xml:space="preserve">  [*] --&gt; Draft</w:t>
            </w:r>
          </w:p>
          <w:p>
            <w:pPr>
              <w:pStyle w:val="MermaidCode"/>
            </w:pPr>
            <w:r>
              <w:t xml:space="preserve">  Draft --&gt; PendingReview</w:t>
            </w:r>
          </w:p>
          <w:p>
            <w:pPr>
              <w:pStyle w:val="MermaidCode"/>
            </w:pPr>
            <w:r>
              <w:t xml:space="preserve">  PendingReview --&gt; Approved</w:t>
            </w:r>
          </w:p>
          <w:p>
            <w:pPr>
              <w:pStyle w:val="MermaidCode"/>
            </w:pPr>
            <w:r>
              <w:t xml:space="preserve">  PendingReview --&gt; Rejected</w:t>
            </w:r>
          </w:p>
          <w:p>
            <w:pPr>
              <w:pStyle w:val="MermaidCode"/>
            </w:pPr>
            <w:r>
              <w:t xml:space="preserve">  Approved --&gt; Inactive</w:t>
            </w:r>
          </w:p>
          <w:p>
            <w:pPr>
              <w:pStyle w:val="MermaidCode"/>
            </w:pPr>
            <w:r>
              <w:t xml:space="preserve">  Approved --&gt; Retired</w:t>
            </w:r>
          </w:p>
          <w:p>
            <w:pPr>
              <w:pStyle w:val="MermaidCode"/>
            </w:pPr>
            <w:r>
              <w:t xml:space="preserve">  Inactive --&gt; Approved</w:t>
            </w:r>
          </w:p>
          <w:p>
            <w:pPr>
              <w:pStyle w:val="MermaidCode"/>
            </w:pPr>
            <w:r>
              <w:t xml:space="preserve">  Retired --&gt; Approved</w:t>
            </w:r>
          </w:p>
          <w:p>
            <w:pPr>
              <w:pStyle w:val="MermaidCode"/>
            </w:pPr>
            <w:r>
              <w:t xml:space="preserve">  Approved --&gt; Deprecated</w:t>
            </w:r>
          </w:p>
          <w:p>
            <w:pPr>
              <w:pStyle w:val="MermaidCode"/>
            </w:pPr>
            <w:r>
              <w:t xml:space="preserve">  Deprecated --&gt; [*]</w:t>
            </w:r>
          </w:p>
        </w:tc>
      </w:tr>
    </w:tbl>
    <w:p/>
    <w:p>
      <w:pPr>
        <w:pStyle w:val="Heading1"/>
      </w:pPr>
      <w:r>
        <w:t>10. AI Question Generation</w:t>
      </w:r>
    </w:p>
    <w:p>
      <w:r>
        <w:t>AI generation accelerates creation of assessment questions while preserving governance. Compliance teams can request questions for specific control domains and response types, but AI output remains advisory until reviewed and published by authorized humans.</w:t>
      </w:r>
    </w:p>
    <w:p>
      <w:pPr>
        <w:pStyle w:val="ListNumber"/>
      </w:pPr>
      <w:r>
        <w:t>User opens AI Review and enters a question focus.</w:t>
      </w:r>
    </w:p>
    <w:p>
      <w:pPr>
        <w:pStyle w:val="ListNumber"/>
      </w:pPr>
      <w:r>
        <w:t>User selects response types: Boolean, Text, Maturity, and/or Multi-select.</w:t>
      </w:r>
    </w:p>
    <w:p>
      <w:pPr>
        <w:pStyle w:val="ListNumber"/>
      </w:pPr>
      <w:r>
        <w:t>The form presents only frameworks enabled for the current tenant.</w:t>
      </w:r>
    </w:p>
    <w:p>
      <w:pPr>
        <w:pStyle w:val="ListNumber"/>
      </w:pPr>
      <w:r>
        <w:t>Backend resolves approved control context from enabled frameworks, mappings, and harmonized controls.</w:t>
      </w:r>
    </w:p>
    <w:p>
      <w:pPr>
        <w:pStyle w:val="ListNumber"/>
      </w:pPr>
      <w:r>
        <w:t>OpenAI receives structured control context, requested response types, and the prompt focus.</w:t>
      </w:r>
    </w:p>
    <w:p>
      <w:pPr>
        <w:pStyle w:val="ListNumber"/>
      </w:pPr>
      <w:r>
        <w:t>OpenAI returns JSON candidates with question text, response type, evidence expectation IDs, citations, and confidence.</w:t>
      </w:r>
    </w:p>
    <w:p>
      <w:pPr>
        <w:pStyle w:val="ListNumber"/>
      </w:pPr>
      <w:r>
        <w:t>Backend rejects unauthorized citations or evidence IDs and completes missing requested response types with controlled fallback candidates when needed.</w:t>
      </w:r>
    </w:p>
    <w:p>
      <w:pPr>
        <w:pStyle w:val="ListNumber"/>
      </w:pPr>
      <w:r>
        <w:t>AI question versions are stored as pending_review.</w:t>
      </w:r>
    </w:p>
    <w:p>
      <w:pPr>
        <w:pStyle w:val="ListNumber"/>
      </w:pPr>
      <w:r>
        <w:t>Human reviewer approves or rejects the generation.</w:t>
      </w:r>
    </w:p>
    <w:p>
      <w:pPr>
        <w:pStyle w:val="ListNumber"/>
      </w:pPr>
      <w:r>
        <w:t>Publication writes approved questions into the global Question Repository as approved question versions.</w:t>
      </w:r>
    </w:p>
    <w:p>
      <w:pPr>
        <w:pStyle w:val="ListNumber"/>
      </w:pPr>
      <w:r>
        <w:t>Future assessments can select the published question versions.</w:t>
      </w:r>
    </w:p>
    <w:p>
      <w:pPr>
        <w:pStyle w:val="Heading3"/>
      </w:pPr>
      <w:r>
        <w:t>AI Question Generation and Publication</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flowchart TD</w:t>
            </w:r>
          </w:p>
          <w:p>
            <w:pPr>
              <w:pStyle w:val="MermaidCode"/>
            </w:pPr>
            <w:r>
              <w:t xml:space="preserve">  A["Question focus + response types"] --&gt; B["Tenant enabled frameworks"]</w:t>
            </w:r>
          </w:p>
          <w:p>
            <w:pPr>
              <w:pStyle w:val="MermaidCode"/>
            </w:pPr>
            <w:r>
              <w:t xml:space="preserve">  B --&gt; C["Resolve harmonized control context"]</w:t>
            </w:r>
          </w:p>
          <w:p>
            <w:pPr>
              <w:pStyle w:val="MermaidCode"/>
            </w:pPr>
            <w:r>
              <w:t xml:space="preserve">  C --&gt; D["OpenAI Responses API"]</w:t>
            </w:r>
          </w:p>
          <w:p>
            <w:pPr>
              <w:pStyle w:val="MermaidCode"/>
            </w:pPr>
            <w:r>
              <w:t xml:space="preserve">  D --&gt; E["Structured candidate questions"]</w:t>
            </w:r>
          </w:p>
          <w:p>
            <w:pPr>
              <w:pStyle w:val="MermaidCode"/>
            </w:pPr>
            <w:r>
              <w:t xml:space="preserve">  E --&gt; F["Backend validates citations and evidence IDs"]</w:t>
            </w:r>
          </w:p>
          <w:p>
            <w:pPr>
              <w:pStyle w:val="MermaidCode"/>
            </w:pPr>
            <w:r>
              <w:t xml:space="preserve">  F --&gt; G["AI question versions pending review"]</w:t>
            </w:r>
          </w:p>
          <w:p>
            <w:pPr>
              <w:pStyle w:val="MermaidCode"/>
            </w:pPr>
            <w:r>
              <w:t xml:space="preserve">  G --&gt; H["Human approval"]</w:t>
            </w:r>
          </w:p>
          <w:p>
            <w:pPr>
              <w:pStyle w:val="MermaidCode"/>
            </w:pPr>
            <w:r>
              <w:t xml:space="preserve">  H --&gt; I["Publish approved question set"]</w:t>
            </w:r>
          </w:p>
          <w:p>
            <w:pPr>
              <w:pStyle w:val="MermaidCode"/>
            </w:pPr>
            <w:r>
              <w:t xml:space="preserve">  I --&gt; J["Question Repository question_versions"]</w:t>
            </w:r>
          </w:p>
          <w:p>
            <w:pPr>
              <w:pStyle w:val="MermaidCode"/>
            </w:pPr>
            <w:r>
              <w:t xml:space="preserve">  J --&gt; K["Selectable in assessment creation"]</w:t>
            </w:r>
          </w:p>
        </w:tc>
      </w:tr>
    </w:tbl>
    <w:p/>
    <w:p>
      <w:r>
        <w:t>An AI question becomes reusable only after publication. Publication creates or reuses a governed Question Set for the harmonized control and response type, then inserts an approved Question Version with AI provenance fields such as source AI question version ID, generation run ID, prompt/model/retrieval metadata, citations, evidence expectations, confidence, and approval data.</w:t>
      </w:r>
    </w:p>
    <w:p>
      <w:pPr>
        <w:pStyle w:val="Heading1"/>
      </w:pPr>
      <w:r>
        <w:t>11. Question Curation</w:t>
      </w:r>
    </w:p>
    <w:p>
      <w:r>
        <w:t>Platform Super Admin manages the global Question Repository. Manual drafts can be created for harmonized controls, reviewed, approved, deactivated, retired, restored, and inspected for consumers. Curated baseline questions are seeded idempotently from harmonized control and mapping data.</w:t>
      </w:r>
    </w:p>
    <w:p>
      <w:pPr>
        <w:pStyle w:val="ListBullet"/>
      </w:pPr>
      <w:r>
        <w:t>Maintain global question quality and consistency.</w:t>
      </w:r>
    </w:p>
    <w:p>
      <w:pPr>
        <w:pStyle w:val="ListBullet"/>
      </w:pPr>
      <w:r>
        <w:t>Approve or retire question versions based on product governance.</w:t>
      </w:r>
    </w:p>
    <w:p>
      <w:pPr>
        <w:pStyle w:val="ListBullet"/>
      </w:pPr>
      <w:r>
        <w:t>Inspect consumer impact before deactivation or retirement.</w:t>
      </w:r>
    </w:p>
    <w:p>
      <w:pPr>
        <w:pStyle w:val="ListBullet"/>
      </w:pPr>
      <w:r>
        <w:t>Preserve source/control mapping traceability.</w:t>
      </w:r>
    </w:p>
    <w:p>
      <w:pPr>
        <w:pStyle w:val="ListBullet"/>
      </w:pPr>
      <w:r>
        <w:t>Ensure AI-origin content is human reviewed before publication.</w:t>
      </w:r>
    </w:p>
    <w:p>
      <w:pPr>
        <w:pStyle w:val="Heading1"/>
      </w:pPr>
      <w:r>
        <w:t>12. Assessment Creation</w:t>
      </w:r>
    </w:p>
    <w:p>
      <w:r>
        <w:t>Assessment Creation turns enabled framework obligations and approved question versions into a tenant-specific execution workspace. The key product rule is that assessment creation selects from governed content; it does not fabricate new framework, control, or question records.</w:t>
      </w:r>
    </w:p>
    <w:p>
      <w:pPr>
        <w:pStyle w:val="ListNumber"/>
      </w:pPr>
      <w:r>
        <w:t>Tenant Platform Admin or Compliance Manager opens Assessments.</w:t>
      </w:r>
    </w:p>
    <w:p>
      <w:pPr>
        <w:pStyle w:val="ListNumber"/>
      </w:pPr>
      <w:r>
        <w:t>The page displays assessment dashboard sections such as recent assessments, status groups, filters, and create scope.</w:t>
      </w:r>
    </w:p>
    <w:p>
      <w:pPr>
        <w:pStyle w:val="ListNumber"/>
      </w:pPr>
      <w:r>
        <w:t>The create form loads approved question options derived from enabled frameworks.</w:t>
      </w:r>
    </w:p>
    <w:p>
      <w:pPr>
        <w:pStyle w:val="ListNumber"/>
      </w:pPr>
      <w:r>
        <w:t>User selects an approved question version, enters scope name, owner, and assessment period.</w:t>
      </w:r>
    </w:p>
    <w:p>
      <w:pPr>
        <w:pStyle w:val="ListNumber"/>
      </w:pPr>
      <w:r>
        <w:t>Backend resolves the selected question version to framework version, mapping version, source control, harmonized control, and question version metadata.</w:t>
      </w:r>
    </w:p>
    <w:p>
      <w:pPr>
        <w:pStyle w:val="ListNumber"/>
      </w:pPr>
      <w:r>
        <w:t>Backend creates an assessment and assessment item with pinned control and question references.</w:t>
      </w:r>
    </w:p>
    <w:p>
      <w:pPr>
        <w:pStyle w:val="ListNumber"/>
      </w:pPr>
      <w:r>
        <w:t>The assessment opens with an assessmentId in the URL and a selected item ready for execution.</w:t>
      </w:r>
    </w:p>
    <w:p>
      <w:r>
        <w:t>The backend calls QuestionRepositoryService.resolveAssessmentControls before creating the assessment. This guarantees that submitted questionVersionId values still resolve to active approved questions for frameworks enabled by the tenant.</w:t>
      </w:r>
    </w:p>
    <w:p>
      <w:r>
        <w:t>Version locking is central to auditability. If a question is updated later, the existing assessment still points to the original questionVersionId. New assessments may select newer approved versions, but historical assessments retain their original basis.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2937"/>
          </w:tcPr>
          <w:p>
            <w:pPr>
              <w:spacing w:after="0"/>
            </w:pPr>
            <w:r/>
            <w:r>
              <w:rPr>
                <w:b/>
                <w:color w:val="FFFFFF"/>
              </w:rPr>
              <w:t>Status</w:t>
            </w:r>
          </w:p>
        </w:tc>
        <w:tc>
          <w:tcPr>
            <w:tcW w:type="dxa" w:w="8640"/>
            <w:vAlign w:val="center"/>
            <w:shd w:fill="1F2937"/>
          </w:tcPr>
          <w:p>
            <w:pPr>
              <w:spacing w:after="0"/>
            </w:pPr>
            <w:r/>
            <w:r>
              <w:rPr>
                <w:b/>
                <w:color w:val="FFFFFF"/>
              </w:rPr>
              <w:t>Meaning</w:t>
            </w:r>
          </w:p>
        </w:tc>
      </w:tr>
      <w:tr>
        <w:tc>
          <w:tcPr>
            <w:tcW w:type="dxa" w:w="2160"/>
            <w:vAlign w:val="center"/>
          </w:tcPr>
          <w:p>
            <w:pPr>
              <w:spacing w:after="0"/>
            </w:pPr>
            <w:r/>
            <w:r>
              <w:rPr>
                <w:b w:val="0"/>
              </w:rPr>
              <w:t>not_started</w:t>
            </w:r>
          </w:p>
        </w:tc>
        <w:tc>
          <w:tcPr>
            <w:tcW w:type="dxa" w:w="8640"/>
            <w:vAlign w:val="center"/>
          </w:tcPr>
          <w:p>
            <w:pPr>
              <w:spacing w:after="0"/>
            </w:pPr>
            <w:r/>
            <w:r>
              <w:rPr>
                <w:b w:val="0"/>
              </w:rPr>
              <w:t>Assessment or item has been created but work has not begun.</w:t>
            </w:r>
          </w:p>
        </w:tc>
      </w:tr>
      <w:tr>
        <w:tc>
          <w:tcPr>
            <w:tcW w:type="dxa" w:w="2160"/>
            <w:vAlign w:val="center"/>
          </w:tcPr>
          <w:p>
            <w:pPr>
              <w:spacing w:after="0"/>
            </w:pPr>
            <w:r/>
            <w:r>
              <w:rPr>
                <w:b w:val="0"/>
              </w:rPr>
              <w:t>in_progress</w:t>
            </w:r>
          </w:p>
        </w:tc>
        <w:tc>
          <w:tcPr>
            <w:tcW w:type="dxa" w:w="8640"/>
            <w:vAlign w:val="center"/>
          </w:tcPr>
          <w:p>
            <w:pPr>
              <w:spacing w:after="0"/>
            </w:pPr>
            <w:r/>
            <w:r>
              <w:rPr>
                <w:b w:val="0"/>
              </w:rPr>
              <w:t>Applicability is approved or work has started.</w:t>
            </w:r>
          </w:p>
        </w:tc>
      </w:tr>
      <w:tr>
        <w:tc>
          <w:tcPr>
            <w:tcW w:type="dxa" w:w="2160"/>
            <w:vAlign w:val="center"/>
          </w:tcPr>
          <w:p>
            <w:pPr>
              <w:spacing w:after="0"/>
            </w:pPr>
            <w:r/>
            <w:r>
              <w:rPr>
                <w:b w:val="0"/>
              </w:rPr>
              <w:t>submitted</w:t>
            </w:r>
          </w:p>
        </w:tc>
        <w:tc>
          <w:tcPr>
            <w:tcW w:type="dxa" w:w="8640"/>
            <w:vAlign w:val="center"/>
          </w:tcPr>
          <w:p>
            <w:pPr>
              <w:spacing w:after="0"/>
            </w:pPr>
            <w:r/>
            <w:r>
              <w:rPr>
                <w:b w:val="0"/>
              </w:rPr>
              <w:t>Answer has been submitted and is ready for review.</w:t>
            </w:r>
          </w:p>
        </w:tc>
      </w:tr>
      <w:tr>
        <w:tc>
          <w:tcPr>
            <w:tcW w:type="dxa" w:w="2160"/>
            <w:vAlign w:val="center"/>
          </w:tcPr>
          <w:p>
            <w:pPr>
              <w:spacing w:after="0"/>
            </w:pPr>
            <w:r/>
            <w:r>
              <w:rPr>
                <w:b w:val="0"/>
              </w:rPr>
              <w:t>needs_changes</w:t>
            </w:r>
          </w:p>
        </w:tc>
        <w:tc>
          <w:tcPr>
            <w:tcW w:type="dxa" w:w="8640"/>
            <w:vAlign w:val="center"/>
          </w:tcPr>
          <w:p>
            <w:pPr>
              <w:spacing w:after="0"/>
            </w:pPr>
            <w:r/>
            <w:r>
              <w:rPr>
                <w:b w:val="0"/>
              </w:rPr>
              <w:t>Reviewer reopened or rejected the submitted item with requested changes.</w:t>
            </w:r>
          </w:p>
        </w:tc>
      </w:tr>
      <w:tr>
        <w:tc>
          <w:tcPr>
            <w:tcW w:type="dxa" w:w="2160"/>
            <w:vAlign w:val="center"/>
          </w:tcPr>
          <w:p>
            <w:pPr>
              <w:spacing w:after="0"/>
            </w:pPr>
            <w:r/>
            <w:r>
              <w:rPr>
                <w:b w:val="0"/>
              </w:rPr>
              <w:t>approved</w:t>
            </w:r>
          </w:p>
        </w:tc>
        <w:tc>
          <w:tcPr>
            <w:tcW w:type="dxa" w:w="8640"/>
            <w:vAlign w:val="center"/>
          </w:tcPr>
          <w:p>
            <w:pPr>
              <w:spacing w:after="0"/>
            </w:pPr>
            <w:r/>
            <w:r>
              <w:rPr>
                <w:b w:val="0"/>
              </w:rPr>
              <w:t>Item has been reviewed and accepted.</w:t>
            </w:r>
          </w:p>
        </w:tc>
      </w:tr>
      <w:tr>
        <w:tc>
          <w:tcPr>
            <w:tcW w:type="dxa" w:w="2160"/>
            <w:vAlign w:val="center"/>
          </w:tcPr>
          <w:p>
            <w:pPr>
              <w:spacing w:after="0"/>
            </w:pPr>
            <w:r/>
            <w:r>
              <w:rPr>
                <w:b w:val="0"/>
              </w:rPr>
              <w:t>closed</w:t>
            </w:r>
          </w:p>
        </w:tc>
        <w:tc>
          <w:tcPr>
            <w:tcW w:type="dxa" w:w="8640"/>
            <w:vAlign w:val="center"/>
          </w:tcPr>
          <w:p>
            <w:pPr>
              <w:spacing w:after="0"/>
            </w:pPr>
            <w:r/>
            <w:r>
              <w:rPr>
                <w:b w:val="0"/>
              </w:rPr>
              <w:t>Assessment is completed and archived/closed after required approvals.</w:t>
            </w:r>
          </w:p>
        </w:tc>
      </w:tr>
    </w:tbl>
    <w:p/>
    <w:p>
      <w:pPr>
        <w:pStyle w:val="Heading3"/>
      </w:pPr>
      <w:r>
        <w:t>Assessment Creation Workflow</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flowchart TD</w:t>
            </w:r>
          </w:p>
          <w:p>
            <w:pPr>
              <w:pStyle w:val="MermaidCode"/>
            </w:pPr>
            <w:r>
              <w:t xml:space="preserve">  A["Tenant enabled frameworks"] --&gt; B["Approved question options"]</w:t>
            </w:r>
          </w:p>
          <w:p>
            <w:pPr>
              <w:pStyle w:val="MermaidCode"/>
            </w:pPr>
            <w:r>
              <w:t xml:space="preserve">  B --&gt; C["User selects questionVersionId"]</w:t>
            </w:r>
          </w:p>
          <w:p>
            <w:pPr>
              <w:pStyle w:val="MermaidCode"/>
            </w:pPr>
            <w:r>
              <w:t xml:space="preserve">  C --&gt; D["Resolve assessment controls"]</w:t>
            </w:r>
          </w:p>
          <w:p>
            <w:pPr>
              <w:pStyle w:val="MermaidCode"/>
            </w:pPr>
            <w:r>
              <w:t xml:space="preserve">  D --&gt; E["Create assessment"]</w:t>
            </w:r>
          </w:p>
          <w:p>
            <w:pPr>
              <w:pStyle w:val="MermaidCode"/>
            </w:pPr>
            <w:r>
              <w:t xml:space="preserve">  E --&gt; F["Create assessment items"]</w:t>
            </w:r>
          </w:p>
          <w:p>
            <w:pPr>
              <w:pStyle w:val="MermaidCode"/>
            </w:pPr>
            <w:r>
              <w:t xml:space="preserve">  F --&gt; G["Pinned framework/control/question version"]</w:t>
            </w:r>
          </w:p>
          <w:p>
            <w:pPr>
              <w:pStyle w:val="MermaidCode"/>
            </w:pPr>
            <w:r>
              <w:t xml:space="preserve">  G --&gt; H["Assessment execution workspace"]</w:t>
            </w:r>
          </w:p>
        </w:tc>
      </w:tr>
    </w:tbl>
    <w:p/>
    <w:p>
      <w:pPr>
        <w:pStyle w:val="Heading1"/>
      </w:pPr>
      <w:r>
        <w:t>13. Assessment Execution</w:t>
      </w:r>
    </w:p>
    <w:p>
      <w:r>
        <w:t>Assessment Execution is where compliance work is performed. Users answer approved questions, attach evidence, record applicability, submit for review, and preserve history.</w:t>
      </w:r>
    </w:p>
    <w:p>
      <w:r>
        <w:t>Each assessment item presents the selected question with metadata: response type, framework, harmonized control, source control, expected evidence, AI/manual origin, confidence, citations, classification, version, and question status.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F2937"/>
          </w:tcPr>
          <w:p>
            <w:pPr>
              <w:spacing w:after="0"/>
            </w:pPr>
            <w:r/>
            <w:r>
              <w:rPr>
                <w:b/>
                <w:color w:val="FFFFFF"/>
              </w:rPr>
              <w:t>Question type</w:t>
            </w:r>
          </w:p>
        </w:tc>
        <w:tc>
          <w:tcPr>
            <w:tcW w:type="dxa" w:w="8496"/>
            <w:vAlign w:val="center"/>
            <w:shd w:fill="1F2937"/>
          </w:tcPr>
          <w:p>
            <w:pPr>
              <w:spacing w:after="0"/>
            </w:pPr>
            <w:r/>
            <w:r>
              <w:rPr>
                <w:b/>
                <w:color w:val="FFFFFF"/>
              </w:rPr>
              <w:t>Execution UI</w:t>
            </w:r>
          </w:p>
        </w:tc>
      </w:tr>
      <w:tr>
        <w:tc>
          <w:tcPr>
            <w:tcW w:type="dxa" w:w="2304"/>
            <w:vAlign w:val="center"/>
          </w:tcPr>
          <w:p>
            <w:pPr>
              <w:spacing w:after="0"/>
            </w:pPr>
            <w:r/>
            <w:r>
              <w:rPr>
                <w:b w:val="0"/>
              </w:rPr>
              <w:t>Boolean</w:t>
            </w:r>
          </w:p>
        </w:tc>
        <w:tc>
          <w:tcPr>
            <w:tcW w:type="dxa" w:w="8496"/>
            <w:vAlign w:val="center"/>
          </w:tcPr>
          <w:p>
            <w:pPr>
              <w:spacing w:after="0"/>
            </w:pPr>
            <w:r/>
            <w:r>
              <w:rPr>
                <w:b w:val="0"/>
              </w:rPr>
              <w:t>Yes/No selector</w:t>
            </w:r>
          </w:p>
        </w:tc>
      </w:tr>
      <w:tr>
        <w:tc>
          <w:tcPr>
            <w:tcW w:type="dxa" w:w="2304"/>
            <w:vAlign w:val="center"/>
          </w:tcPr>
          <w:p>
            <w:pPr>
              <w:spacing w:after="0"/>
            </w:pPr>
            <w:r/>
            <w:r>
              <w:rPr>
                <w:b w:val="0"/>
              </w:rPr>
              <w:t>Text</w:t>
            </w:r>
          </w:p>
        </w:tc>
        <w:tc>
          <w:tcPr>
            <w:tcW w:type="dxa" w:w="8496"/>
            <w:vAlign w:val="center"/>
          </w:tcPr>
          <w:p>
            <w:pPr>
              <w:spacing w:after="0"/>
            </w:pPr>
            <w:r/>
            <w:r>
              <w:rPr>
                <w:b w:val="0"/>
              </w:rPr>
              <w:t>Textarea for narrative answer</w:t>
            </w:r>
          </w:p>
        </w:tc>
      </w:tr>
      <w:tr>
        <w:tc>
          <w:tcPr>
            <w:tcW w:type="dxa" w:w="2304"/>
            <w:vAlign w:val="center"/>
          </w:tcPr>
          <w:p>
            <w:pPr>
              <w:spacing w:after="0"/>
            </w:pPr>
            <w:r/>
            <w:r>
              <w:rPr>
                <w:b w:val="0"/>
              </w:rPr>
              <w:t>Maturity</w:t>
            </w:r>
          </w:p>
        </w:tc>
        <w:tc>
          <w:tcPr>
            <w:tcW w:type="dxa" w:w="8496"/>
            <w:vAlign w:val="center"/>
          </w:tcPr>
          <w:p>
            <w:pPr>
              <w:spacing w:after="0"/>
            </w:pPr>
            <w:r/>
            <w:r>
              <w:rPr>
                <w:b w:val="0"/>
              </w:rPr>
              <w:t>Maturity scale selector</w:t>
            </w:r>
          </w:p>
        </w:tc>
      </w:tr>
      <w:tr>
        <w:tc>
          <w:tcPr>
            <w:tcW w:type="dxa" w:w="2304"/>
            <w:vAlign w:val="center"/>
          </w:tcPr>
          <w:p>
            <w:pPr>
              <w:spacing w:after="0"/>
            </w:pPr>
            <w:r/>
            <w:r>
              <w:rPr>
                <w:b w:val="0"/>
              </w:rPr>
              <w:t>Multi-select</w:t>
            </w:r>
          </w:p>
        </w:tc>
        <w:tc>
          <w:tcPr>
            <w:tcW w:type="dxa" w:w="8496"/>
            <w:vAlign w:val="center"/>
          </w:tcPr>
          <w:p>
            <w:pPr>
              <w:spacing w:after="0"/>
            </w:pPr>
            <w:r/>
            <w:r>
              <w:rPr>
                <w:b w:val="0"/>
              </w:rPr>
              <w:t>Checkbox list based on evidence expectations or configured choices</w:t>
            </w:r>
          </w:p>
        </w:tc>
      </w:tr>
    </w:tbl>
    <w:p/>
    <w:p>
      <w:pPr>
        <w:pStyle w:val="ListNumber"/>
      </w:pPr>
      <w:r>
        <w:t>Approve or record applicability with rationale.</w:t>
      </w:r>
    </w:p>
    <w:p>
      <w:pPr>
        <w:pStyle w:val="ListNumber"/>
      </w:pPr>
      <w:r>
        <w:t>Submit an answer using the response control appropriate for the selected question type.</w:t>
      </w:r>
    </w:p>
    <w:p>
      <w:pPr>
        <w:pStyle w:val="ListNumber"/>
      </w:pPr>
      <w:r>
        <w:t>Upload or link required evidence.</w:t>
      </w:r>
    </w:p>
    <w:p>
      <w:pPr>
        <w:pStyle w:val="ListNumber"/>
      </w:pPr>
      <w:r>
        <w:t>System records answer revision history and linked evidence IDs.</w:t>
      </w:r>
    </w:p>
    <w:p>
      <w:pPr>
        <w:pStyle w:val="ListNumber"/>
      </w:pPr>
      <w:r>
        <w:t>Reviewer approves the item or marks it needs changes with a reason.</w:t>
      </w:r>
    </w:p>
    <w:p>
      <w:pPr>
        <w:pStyle w:val="ListNumber"/>
      </w:pPr>
      <w:r>
        <w:t>If changes are needed, the item can be reopened and resubmitted.</w:t>
      </w:r>
    </w:p>
    <w:p>
      <w:pPr>
        <w:pStyle w:val="ListNumber"/>
      </w:pPr>
      <w:r>
        <w:t>When all items are approved, the assessment can be closed.</w:t>
      </w:r>
    </w:p>
    <w:p>
      <w:r>
        <w:t>Evidence upload is included in the assessment execution workflow. Users select a supported file, provide classification, period, and scope tags, upload bytes through the UI, and link the resulting evidence object to an assessment item. The evidence lifecycle includes quarantine/scan status and clean/committed state. Advanced evidence automation is considered MVP workflow pending outside the Phase 1 completion boundary.</w:t>
      </w:r>
    </w:p>
    <w:p>
      <w:r>
        <w:t>Important assessment actions use idempotency keys and emit audit/outbox events. This protects against duplicate submissions and gives the platform a durable record of events such as assessment created, applicability approved, answer submitted, item reviewed, item reopened, and assessment closed.</w:t>
      </w:r>
    </w:p>
    <w:p>
      <w:pPr>
        <w:pStyle w:val="Heading3"/>
      </w:pPr>
      <w:r>
        <w:t>Assessment Execution Workflow</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stateDiagram-v2</w:t>
            </w:r>
          </w:p>
          <w:p>
            <w:pPr>
              <w:pStyle w:val="MermaidCode"/>
            </w:pPr>
            <w:r>
              <w:t xml:space="preserve">  [*] --&gt; NotStarted</w:t>
            </w:r>
          </w:p>
          <w:p>
            <w:pPr>
              <w:pStyle w:val="MermaidCode"/>
            </w:pPr>
            <w:r>
              <w:t xml:space="preserve">  NotStarted --&gt; InProgress: applicability approved</w:t>
            </w:r>
          </w:p>
          <w:p>
            <w:pPr>
              <w:pStyle w:val="MermaidCode"/>
            </w:pPr>
            <w:r>
              <w:t xml:space="preserve">  InProgress --&gt; Submitted: answer + evidence submitted</w:t>
            </w:r>
          </w:p>
          <w:p>
            <w:pPr>
              <w:pStyle w:val="MermaidCode"/>
            </w:pPr>
            <w:r>
              <w:t xml:space="preserve">  Submitted --&gt; Approved: reviewer approves</w:t>
            </w:r>
          </w:p>
          <w:p>
            <w:pPr>
              <w:pStyle w:val="MermaidCode"/>
            </w:pPr>
            <w:r>
              <w:t xml:space="preserve">  Submitted --&gt; NeedsChanges: reviewer requests changes</w:t>
            </w:r>
          </w:p>
          <w:p>
            <w:pPr>
              <w:pStyle w:val="MermaidCode"/>
            </w:pPr>
            <w:r>
              <w:t xml:space="preserve">  NeedsChanges --&gt; Submitted: answer resubmitted</w:t>
            </w:r>
          </w:p>
          <w:p>
            <w:pPr>
              <w:pStyle w:val="MermaidCode"/>
            </w:pPr>
            <w:r>
              <w:t xml:space="preserve">  Approved --&gt; Closed: all items approved and assessment closed</w:t>
            </w:r>
          </w:p>
        </w:tc>
      </w:tr>
    </w:tbl>
    <w:p/>
    <w:p>
      <w:pPr>
        <w:pStyle w:val="Heading1"/>
      </w:pPr>
      <w:r>
        <w:t>14. End-to-End Data Flow</w:t>
      </w:r>
    </w:p>
    <w:p>
      <w:r>
        <w:t>The complete Phase 1 workflow moves from global setup to tenant execution. Each step narrows generic platform content into tenant-specific, version-locked assessment records.</w:t>
      </w:r>
    </w:p>
    <w:p>
      <w:pPr>
        <w:pStyle w:val="Heading3"/>
      </w:pPr>
      <w:r>
        <w:t>Overall Phase 1 Workflow</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flowchart TD</w:t>
            </w:r>
          </w:p>
          <w:p>
            <w:pPr>
              <w:pStyle w:val="MermaidCode"/>
            </w:pPr>
            <w:r>
              <w:t xml:space="preserve">  A["Platform Initialization"] --&gt; B["Global Framework Repository"]</w:t>
            </w:r>
          </w:p>
          <w:p>
            <w:pPr>
              <w:pStyle w:val="MermaidCode"/>
            </w:pPr>
            <w:r>
              <w:t xml:space="preserve">  B --&gt; C["Harmonized Control Model"]</w:t>
            </w:r>
          </w:p>
          <w:p>
            <w:pPr>
              <w:pStyle w:val="MermaidCode"/>
            </w:pPr>
            <w:r>
              <w:t xml:space="preserve">  C --&gt; D["Global Question Repository"]</w:t>
            </w:r>
          </w:p>
          <w:p>
            <w:pPr>
              <w:pStyle w:val="MermaidCode"/>
            </w:pPr>
            <w:r>
              <w:t xml:space="preserve">  A --&gt; E["Tenant Creation"]</w:t>
            </w:r>
          </w:p>
          <w:p>
            <w:pPr>
              <w:pStyle w:val="MermaidCode"/>
            </w:pPr>
            <w:r>
              <w:t xml:space="preserve">  E --&gt; F["First Tenant Admin"]</w:t>
            </w:r>
          </w:p>
          <w:p>
            <w:pPr>
              <w:pStyle w:val="MermaidCode"/>
            </w:pPr>
            <w:r>
              <w:t xml:space="preserve">  F --&gt; G["User Onboarding"]</w:t>
            </w:r>
          </w:p>
          <w:p>
            <w:pPr>
              <w:pStyle w:val="MermaidCode"/>
            </w:pPr>
            <w:r>
              <w:t xml:space="preserve">  G --&gt; H["Framework Enablement"]</w:t>
            </w:r>
          </w:p>
          <w:p>
            <w:pPr>
              <w:pStyle w:val="MermaidCode"/>
            </w:pPr>
            <w:r>
              <w:t xml:space="preserve">  H --&gt; I["AI / Manual Question Curation"]</w:t>
            </w:r>
          </w:p>
          <w:p>
            <w:pPr>
              <w:pStyle w:val="MermaidCode"/>
            </w:pPr>
            <w:r>
              <w:t xml:space="preserve">  I --&gt; J["Human Review"]</w:t>
            </w:r>
          </w:p>
          <w:p>
            <w:pPr>
              <w:pStyle w:val="MermaidCode"/>
            </w:pPr>
            <w:r>
              <w:t xml:space="preserve">  J --&gt; K["Question Published"]</w:t>
            </w:r>
          </w:p>
          <w:p>
            <w:pPr>
              <w:pStyle w:val="MermaidCode"/>
            </w:pPr>
            <w:r>
              <w:t xml:space="preserve">  K --&gt; L["Question Set + Question Version"]</w:t>
            </w:r>
          </w:p>
          <w:p>
            <w:pPr>
              <w:pStyle w:val="MermaidCode"/>
            </w:pPr>
            <w:r>
              <w:t xml:space="preserve">  L --&gt; M["Assessment Creation"]</w:t>
            </w:r>
          </w:p>
          <w:p>
            <w:pPr>
              <w:pStyle w:val="MermaidCode"/>
            </w:pPr>
            <w:r>
              <w:t xml:space="preserve">  M --&gt; N["Questions Loaded and Version Locked"]</w:t>
            </w:r>
          </w:p>
          <w:p>
            <w:pPr>
              <w:pStyle w:val="MermaidCode"/>
            </w:pPr>
            <w:r>
              <w:t xml:space="preserve">  N --&gt; O["Assessment Execution"]</w:t>
            </w:r>
          </w:p>
          <w:p>
            <w:pPr>
              <w:pStyle w:val="MermaidCode"/>
            </w:pPr>
            <w:r>
              <w:t xml:space="preserve">  O --&gt; P["Evidence Submission"]</w:t>
            </w:r>
          </w:p>
          <w:p>
            <w:pPr>
              <w:pStyle w:val="MermaidCode"/>
            </w:pPr>
            <w:r>
              <w:t xml:space="preserve">  P --&gt; Q["Review and Completion"]</w:t>
            </w:r>
          </w:p>
        </w:tc>
      </w:tr>
    </w:tbl>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2937"/>
          </w:tcPr>
          <w:p>
            <w:pPr>
              <w:spacing w:after="0"/>
            </w:pPr>
            <w:r/>
            <w:r>
              <w:rPr>
                <w:b/>
                <w:color w:val="FFFFFF"/>
              </w:rPr>
              <w:t>Stage</w:t>
            </w:r>
          </w:p>
        </w:tc>
        <w:tc>
          <w:tcPr>
            <w:tcW w:type="dxa" w:w="7632"/>
            <w:vAlign w:val="center"/>
            <w:shd w:fill="1F2937"/>
          </w:tcPr>
          <w:p>
            <w:pPr>
              <w:spacing w:after="0"/>
            </w:pPr>
            <w:r/>
            <w:r>
              <w:rPr>
                <w:b/>
                <w:color w:val="FFFFFF"/>
              </w:rPr>
              <w:t>Purpose</w:t>
            </w:r>
          </w:p>
        </w:tc>
      </w:tr>
      <w:tr>
        <w:tc>
          <w:tcPr>
            <w:tcW w:type="dxa" w:w="3168"/>
            <w:vAlign w:val="center"/>
          </w:tcPr>
          <w:p>
            <w:pPr>
              <w:spacing w:after="0"/>
            </w:pPr>
            <w:r/>
            <w:r>
              <w:rPr>
                <w:b w:val="0"/>
              </w:rPr>
              <w:t>Platform Initialization</w:t>
            </w:r>
          </w:p>
        </w:tc>
        <w:tc>
          <w:tcPr>
            <w:tcW w:type="dxa" w:w="7632"/>
            <w:vAlign w:val="center"/>
          </w:tcPr>
          <w:p>
            <w:pPr>
              <w:spacing w:after="0"/>
            </w:pPr>
            <w:r/>
            <w:r>
              <w:rPr>
                <w:b w:val="0"/>
              </w:rPr>
              <w:t>Establish Cybernara-controlled platform plane and global catalog.</w:t>
            </w:r>
          </w:p>
        </w:tc>
      </w:tr>
      <w:tr>
        <w:tc>
          <w:tcPr>
            <w:tcW w:type="dxa" w:w="3168"/>
            <w:vAlign w:val="center"/>
          </w:tcPr>
          <w:p>
            <w:pPr>
              <w:spacing w:after="0"/>
            </w:pPr>
            <w:r/>
            <w:r>
              <w:rPr>
                <w:b w:val="0"/>
              </w:rPr>
              <w:t>Framework Repository</w:t>
            </w:r>
          </w:p>
        </w:tc>
        <w:tc>
          <w:tcPr>
            <w:tcW w:type="dxa" w:w="7632"/>
            <w:vAlign w:val="center"/>
          </w:tcPr>
          <w:p>
            <w:pPr>
              <w:spacing w:after="0"/>
            </w:pPr>
            <w:r/>
            <w:r>
              <w:rPr>
                <w:b w:val="0"/>
              </w:rPr>
              <w:t>Stores published framework content and source lineage.</w:t>
            </w:r>
          </w:p>
        </w:tc>
      </w:tr>
      <w:tr>
        <w:tc>
          <w:tcPr>
            <w:tcW w:type="dxa" w:w="3168"/>
            <w:vAlign w:val="center"/>
          </w:tcPr>
          <w:p>
            <w:pPr>
              <w:spacing w:after="0"/>
            </w:pPr>
            <w:r/>
            <w:r>
              <w:rPr>
                <w:b w:val="0"/>
              </w:rPr>
              <w:t>Tenant Creation</w:t>
            </w:r>
          </w:p>
        </w:tc>
        <w:tc>
          <w:tcPr>
            <w:tcW w:type="dxa" w:w="7632"/>
            <w:vAlign w:val="center"/>
          </w:tcPr>
          <w:p>
            <w:pPr>
              <w:spacing w:after="0"/>
            </w:pPr>
            <w:r/>
            <w:r>
              <w:rPr>
                <w:b w:val="0"/>
              </w:rPr>
              <w:t>Creates customer boundary and tenant metadata.</w:t>
            </w:r>
          </w:p>
        </w:tc>
      </w:tr>
      <w:tr>
        <w:tc>
          <w:tcPr>
            <w:tcW w:type="dxa" w:w="3168"/>
            <w:vAlign w:val="center"/>
          </w:tcPr>
          <w:p>
            <w:pPr>
              <w:spacing w:after="0"/>
            </w:pPr>
            <w:r/>
            <w:r>
              <w:rPr>
                <w:b w:val="0"/>
              </w:rPr>
              <w:t>Framework Enablement</w:t>
            </w:r>
          </w:p>
        </w:tc>
        <w:tc>
          <w:tcPr>
            <w:tcW w:type="dxa" w:w="7632"/>
            <w:vAlign w:val="center"/>
          </w:tcPr>
          <w:p>
            <w:pPr>
              <w:spacing w:after="0"/>
            </w:pPr>
            <w:r/>
            <w:r>
              <w:rPr>
                <w:b w:val="0"/>
              </w:rPr>
              <w:t>Tenant subscribes to published framework versions.</w:t>
            </w:r>
          </w:p>
        </w:tc>
      </w:tr>
      <w:tr>
        <w:tc>
          <w:tcPr>
            <w:tcW w:type="dxa" w:w="3168"/>
            <w:vAlign w:val="center"/>
          </w:tcPr>
          <w:p>
            <w:pPr>
              <w:spacing w:after="0"/>
            </w:pPr>
            <w:r/>
            <w:r>
              <w:rPr>
                <w:b w:val="0"/>
              </w:rPr>
              <w:t>Question Repository</w:t>
            </w:r>
          </w:p>
        </w:tc>
        <w:tc>
          <w:tcPr>
            <w:tcW w:type="dxa" w:w="7632"/>
            <w:vAlign w:val="center"/>
          </w:tcPr>
          <w:p>
            <w:pPr>
              <w:spacing w:after="0"/>
            </w:pPr>
            <w:r/>
            <w:r>
              <w:rPr>
                <w:b w:val="0"/>
              </w:rPr>
              <w:t>Stores approved, versioned assessment questions mapped to harmonized controls.</w:t>
            </w:r>
          </w:p>
        </w:tc>
      </w:tr>
      <w:tr>
        <w:tc>
          <w:tcPr>
            <w:tcW w:type="dxa" w:w="3168"/>
            <w:vAlign w:val="center"/>
          </w:tcPr>
          <w:p>
            <w:pPr>
              <w:spacing w:after="0"/>
            </w:pPr>
            <w:r/>
            <w:r>
              <w:rPr>
                <w:b w:val="0"/>
              </w:rPr>
              <w:t>AI Question Generation</w:t>
            </w:r>
          </w:p>
        </w:tc>
        <w:tc>
          <w:tcPr>
            <w:tcW w:type="dxa" w:w="7632"/>
            <w:vAlign w:val="center"/>
          </w:tcPr>
          <w:p>
            <w:pPr>
              <w:spacing w:after="0"/>
            </w:pPr>
            <w:r/>
            <w:r>
              <w:rPr>
                <w:b w:val="0"/>
              </w:rPr>
              <w:t>Drafts control-specific questions with citations and evidence expectations.</w:t>
            </w:r>
          </w:p>
        </w:tc>
      </w:tr>
      <w:tr>
        <w:tc>
          <w:tcPr>
            <w:tcW w:type="dxa" w:w="3168"/>
            <w:vAlign w:val="center"/>
          </w:tcPr>
          <w:p>
            <w:pPr>
              <w:spacing w:after="0"/>
            </w:pPr>
            <w:r/>
            <w:r>
              <w:rPr>
                <w:b w:val="0"/>
              </w:rPr>
              <w:t>Human Review</w:t>
            </w:r>
          </w:p>
        </w:tc>
        <w:tc>
          <w:tcPr>
            <w:tcW w:type="dxa" w:w="7632"/>
            <w:vAlign w:val="center"/>
          </w:tcPr>
          <w:p>
            <w:pPr>
              <w:spacing w:after="0"/>
            </w:pPr>
            <w:r/>
            <w:r>
              <w:rPr>
                <w:b w:val="0"/>
              </w:rPr>
              <w:t>Approves AI output before it can be published.</w:t>
            </w:r>
          </w:p>
        </w:tc>
      </w:tr>
      <w:tr>
        <w:tc>
          <w:tcPr>
            <w:tcW w:type="dxa" w:w="3168"/>
            <w:vAlign w:val="center"/>
          </w:tcPr>
          <w:p>
            <w:pPr>
              <w:spacing w:after="0"/>
            </w:pPr>
            <w:r/>
            <w:r>
              <w:rPr>
                <w:b w:val="0"/>
              </w:rPr>
              <w:t>Question Published</w:t>
            </w:r>
          </w:p>
        </w:tc>
        <w:tc>
          <w:tcPr>
            <w:tcW w:type="dxa" w:w="7632"/>
            <w:vAlign w:val="center"/>
          </w:tcPr>
          <w:p>
            <w:pPr>
              <w:spacing w:after="0"/>
            </w:pPr>
            <w:r/>
            <w:r>
              <w:rPr>
                <w:b w:val="0"/>
              </w:rPr>
              <w:t>Writes approved questions into reusable question_versions.</w:t>
            </w:r>
          </w:p>
        </w:tc>
      </w:tr>
      <w:tr>
        <w:tc>
          <w:tcPr>
            <w:tcW w:type="dxa" w:w="3168"/>
            <w:vAlign w:val="center"/>
          </w:tcPr>
          <w:p>
            <w:pPr>
              <w:spacing w:after="0"/>
            </w:pPr>
            <w:r/>
            <w:r>
              <w:rPr>
                <w:b w:val="0"/>
              </w:rPr>
              <w:t>Assessment Creation</w:t>
            </w:r>
          </w:p>
        </w:tc>
        <w:tc>
          <w:tcPr>
            <w:tcW w:type="dxa" w:w="7632"/>
            <w:vAlign w:val="center"/>
          </w:tcPr>
          <w:p>
            <w:pPr>
              <w:spacing w:after="0"/>
            </w:pPr>
            <w:r/>
            <w:r>
              <w:rPr>
                <w:b w:val="0"/>
              </w:rPr>
              <w:t>Pins selected question versions into tenant assessment items.</w:t>
            </w:r>
          </w:p>
        </w:tc>
      </w:tr>
      <w:tr>
        <w:tc>
          <w:tcPr>
            <w:tcW w:type="dxa" w:w="3168"/>
            <w:vAlign w:val="center"/>
          </w:tcPr>
          <w:p>
            <w:pPr>
              <w:spacing w:after="0"/>
            </w:pPr>
            <w:r/>
            <w:r>
              <w:rPr>
                <w:b w:val="0"/>
              </w:rPr>
              <w:t>Assessment Execution</w:t>
            </w:r>
          </w:p>
        </w:tc>
        <w:tc>
          <w:tcPr>
            <w:tcW w:type="dxa" w:w="7632"/>
            <w:vAlign w:val="center"/>
          </w:tcPr>
          <w:p>
            <w:pPr>
              <w:spacing w:after="0"/>
            </w:pPr>
            <w:r/>
            <w:r>
              <w:rPr>
                <w:b w:val="0"/>
              </w:rPr>
              <w:t>Captures answers, evidence, review, and completion status.</w:t>
            </w:r>
          </w:p>
        </w:tc>
      </w:tr>
    </w:tbl>
    <w:p/>
    <w:p>
      <w:pPr>
        <w:pStyle w:val="Heading1"/>
      </w:pPr>
      <w:r>
        <w:t>15. Database Flow</w:t>
      </w:r>
    </w:p>
    <w:p>
      <w:r>
        <w:t>The data model is relational and version-aware. Global catalog tables describe content; tenant tables describe customer state; execution tables record assessment progress and evidence-backed answers.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F2937"/>
          </w:tcPr>
          <w:p>
            <w:pPr>
              <w:spacing w:after="0"/>
            </w:pPr>
            <w:r/>
            <w:r>
              <w:rPr>
                <w:b/>
                <w:color w:val="FFFFFF"/>
              </w:rPr>
              <w:t>Table or table family</w:t>
            </w:r>
          </w:p>
        </w:tc>
        <w:tc>
          <w:tcPr>
            <w:tcW w:type="dxa" w:w="7344"/>
            <w:vAlign w:val="center"/>
            <w:shd w:fill="1F2937"/>
          </w:tcPr>
          <w:p>
            <w:pPr>
              <w:spacing w:after="0"/>
            </w:pPr>
            <w:r/>
            <w:r>
              <w:rPr>
                <w:b/>
                <w:color w:val="FFFFFF"/>
              </w:rPr>
              <w:t>Role in Phase 1 data flow</w:t>
            </w:r>
          </w:p>
        </w:tc>
      </w:tr>
      <w:tr>
        <w:tc>
          <w:tcPr>
            <w:tcW w:type="dxa" w:w="3456"/>
            <w:vAlign w:val="center"/>
          </w:tcPr>
          <w:p>
            <w:pPr>
              <w:spacing w:after="0"/>
            </w:pPr>
            <w:r/>
            <w:r>
              <w:rPr>
                <w:b w:val="0"/>
              </w:rPr>
              <w:t>identity_tenants</w:t>
            </w:r>
          </w:p>
        </w:tc>
        <w:tc>
          <w:tcPr>
            <w:tcW w:type="dxa" w:w="7344"/>
            <w:vAlign w:val="center"/>
          </w:tcPr>
          <w:p>
            <w:pPr>
              <w:spacing w:after="0"/>
            </w:pPr>
            <w:r/>
            <w:r>
              <w:rPr>
                <w:b w:val="0"/>
              </w:rPr>
              <w:t>Client tenant records and tenant boundary.</w:t>
            </w:r>
          </w:p>
        </w:tc>
      </w:tr>
      <w:tr>
        <w:tc>
          <w:tcPr>
            <w:tcW w:type="dxa" w:w="3456"/>
            <w:vAlign w:val="center"/>
          </w:tcPr>
          <w:p>
            <w:pPr>
              <w:spacing w:after="0"/>
            </w:pPr>
            <w:r/>
            <w:r>
              <w:rPr>
                <w:b w:val="0"/>
              </w:rPr>
              <w:t>identity_users / identity_role_grants</w:t>
            </w:r>
          </w:p>
        </w:tc>
        <w:tc>
          <w:tcPr>
            <w:tcW w:type="dxa" w:w="7344"/>
            <w:vAlign w:val="center"/>
          </w:tcPr>
          <w:p>
            <w:pPr>
              <w:spacing w:after="0"/>
            </w:pPr>
            <w:r/>
            <w:r>
              <w:rPr>
                <w:b w:val="0"/>
              </w:rPr>
              <w:t>Tenant user identity, role assignment, clearance, and active status.</w:t>
            </w:r>
          </w:p>
        </w:tc>
      </w:tr>
      <w:tr>
        <w:tc>
          <w:tcPr>
            <w:tcW w:type="dxa" w:w="3456"/>
            <w:vAlign w:val="center"/>
          </w:tcPr>
          <w:p>
            <w:pPr>
              <w:spacing w:after="0"/>
            </w:pPr>
            <w:r/>
            <w:r>
              <w:rPr>
                <w:b w:val="0"/>
              </w:rPr>
              <w:t>platform_operators</w:t>
            </w:r>
          </w:p>
        </w:tc>
        <w:tc>
          <w:tcPr>
            <w:tcW w:type="dxa" w:w="7344"/>
            <w:vAlign w:val="center"/>
          </w:tcPr>
          <w:p>
            <w:pPr>
              <w:spacing w:after="0"/>
            </w:pPr>
            <w:r/>
            <w:r>
              <w:rPr>
                <w:b w:val="0"/>
              </w:rPr>
              <w:t>Cross-tenant Cybernara platform super-admin accounts.</w:t>
            </w:r>
          </w:p>
        </w:tc>
      </w:tr>
      <w:tr>
        <w:tc>
          <w:tcPr>
            <w:tcW w:type="dxa" w:w="3456"/>
            <w:vAlign w:val="center"/>
          </w:tcPr>
          <w:p>
            <w:pPr>
              <w:spacing w:after="0"/>
            </w:pPr>
            <w:r/>
            <w:r>
              <w:rPr>
                <w:b w:val="0"/>
              </w:rPr>
              <w:t>frameworks / framework_versions</w:t>
            </w:r>
          </w:p>
        </w:tc>
        <w:tc>
          <w:tcPr>
            <w:tcW w:type="dxa" w:w="7344"/>
            <w:vAlign w:val="center"/>
          </w:tcPr>
          <w:p>
            <w:pPr>
              <w:spacing w:after="0"/>
            </w:pPr>
            <w:r/>
            <w:r>
              <w:rPr>
                <w:b w:val="0"/>
              </w:rPr>
              <w:t>Canonical framework definitions and published version lineage.</w:t>
            </w:r>
          </w:p>
        </w:tc>
      </w:tr>
      <w:tr>
        <w:tc>
          <w:tcPr>
            <w:tcW w:type="dxa" w:w="3456"/>
            <w:vAlign w:val="center"/>
          </w:tcPr>
          <w:p>
            <w:pPr>
              <w:spacing w:after="0"/>
            </w:pPr>
            <w:r/>
            <w:r>
              <w:rPr>
                <w:b w:val="0"/>
              </w:rPr>
              <w:t>control_sets / controls / control_subcontrols</w:t>
            </w:r>
          </w:p>
        </w:tc>
        <w:tc>
          <w:tcPr>
            <w:tcW w:type="dxa" w:w="7344"/>
            <w:vAlign w:val="center"/>
          </w:tcPr>
          <w:p>
            <w:pPr>
              <w:spacing w:after="0"/>
            </w:pPr>
            <w:r/>
            <w:r>
              <w:rPr>
                <w:b w:val="0"/>
              </w:rPr>
              <w:t>Framework-specific source controls and requirements.</w:t>
            </w:r>
          </w:p>
        </w:tc>
      </w:tr>
      <w:tr>
        <w:tc>
          <w:tcPr>
            <w:tcW w:type="dxa" w:w="3456"/>
            <w:vAlign w:val="center"/>
          </w:tcPr>
          <w:p>
            <w:pPr>
              <w:spacing w:after="0"/>
            </w:pPr>
            <w:r/>
            <w:r>
              <w:rPr>
                <w:b w:val="0"/>
              </w:rPr>
              <w:t>mapping_versions / control_mappings</w:t>
            </w:r>
          </w:p>
        </w:tc>
        <w:tc>
          <w:tcPr>
            <w:tcW w:type="dxa" w:w="7344"/>
            <w:vAlign w:val="center"/>
          </w:tcPr>
          <w:p>
            <w:pPr>
              <w:spacing w:after="0"/>
            </w:pPr>
            <w:r/>
            <w:r>
              <w:rPr>
                <w:b w:val="0"/>
              </w:rPr>
              <w:t>Maps source controls to harmonized controls.</w:t>
            </w:r>
          </w:p>
        </w:tc>
      </w:tr>
      <w:tr>
        <w:tc>
          <w:tcPr>
            <w:tcW w:type="dxa" w:w="3456"/>
            <w:vAlign w:val="center"/>
          </w:tcPr>
          <w:p>
            <w:pPr>
              <w:spacing w:after="0"/>
            </w:pPr>
            <w:r/>
            <w:r>
              <w:rPr>
                <w:b w:val="0"/>
              </w:rPr>
              <w:t>harmonized_controls</w:t>
            </w:r>
          </w:p>
        </w:tc>
        <w:tc>
          <w:tcPr>
            <w:tcW w:type="dxa" w:w="7344"/>
            <w:vAlign w:val="center"/>
          </w:tcPr>
          <w:p>
            <w:pPr>
              <w:spacing w:after="0"/>
            </w:pPr>
            <w:r/>
            <w:r>
              <w:rPr>
                <w:b w:val="0"/>
              </w:rPr>
              <w:t>Normalized cross-framework control model.</w:t>
            </w:r>
          </w:p>
        </w:tc>
      </w:tr>
      <w:tr>
        <w:tc>
          <w:tcPr>
            <w:tcW w:type="dxa" w:w="3456"/>
            <w:vAlign w:val="center"/>
          </w:tcPr>
          <w:p>
            <w:pPr>
              <w:spacing w:after="0"/>
            </w:pPr>
            <w:r/>
            <w:r>
              <w:rPr>
                <w:b w:val="0"/>
              </w:rPr>
              <w:t>tenant_catalog_subscriptions</w:t>
            </w:r>
          </w:p>
        </w:tc>
        <w:tc>
          <w:tcPr>
            <w:tcW w:type="dxa" w:w="7344"/>
            <w:vAlign w:val="center"/>
          </w:tcPr>
          <w:p>
            <w:pPr>
              <w:spacing w:after="0"/>
            </w:pPr>
            <w:r/>
            <w:r>
              <w:rPr>
                <w:b w:val="0"/>
              </w:rPr>
              <w:t>Which published framework versions a tenant has enabled.</w:t>
            </w:r>
          </w:p>
        </w:tc>
      </w:tr>
      <w:tr>
        <w:tc>
          <w:tcPr>
            <w:tcW w:type="dxa" w:w="3456"/>
            <w:vAlign w:val="center"/>
          </w:tcPr>
          <w:p>
            <w:pPr>
              <w:spacing w:after="0"/>
            </w:pPr>
            <w:r/>
            <w:r>
              <w:rPr>
                <w:b w:val="0"/>
              </w:rPr>
              <w:t>question_sets / question_versions</w:t>
            </w:r>
          </w:p>
        </w:tc>
        <w:tc>
          <w:tcPr>
            <w:tcW w:type="dxa" w:w="7344"/>
            <w:vAlign w:val="center"/>
          </w:tcPr>
          <w:p>
            <w:pPr>
              <w:spacing w:after="0"/>
            </w:pPr>
            <w:r/>
            <w:r>
              <w:rPr>
                <w:b w:val="0"/>
              </w:rPr>
              <w:t>Versioned assessment question catalog.</w:t>
            </w:r>
          </w:p>
        </w:tc>
      </w:tr>
      <w:tr>
        <w:tc>
          <w:tcPr>
            <w:tcW w:type="dxa" w:w="3456"/>
            <w:vAlign w:val="center"/>
          </w:tcPr>
          <w:p>
            <w:pPr>
              <w:spacing w:after="0"/>
            </w:pPr>
            <w:r/>
            <w:r>
              <w:rPr>
                <w:b w:val="0"/>
              </w:rPr>
              <w:t>ai_generation_runs / ai_question_versions</w:t>
            </w:r>
          </w:p>
        </w:tc>
        <w:tc>
          <w:tcPr>
            <w:tcW w:type="dxa" w:w="7344"/>
            <w:vAlign w:val="center"/>
          </w:tcPr>
          <w:p>
            <w:pPr>
              <w:spacing w:after="0"/>
            </w:pPr>
            <w:r/>
            <w:r>
              <w:rPr>
                <w:b w:val="0"/>
              </w:rPr>
              <w:t>AI generation request and AI-origin candidates before/after review.</w:t>
            </w:r>
          </w:p>
        </w:tc>
      </w:tr>
      <w:tr>
        <w:tc>
          <w:tcPr>
            <w:tcW w:type="dxa" w:w="3456"/>
            <w:vAlign w:val="center"/>
          </w:tcPr>
          <w:p>
            <w:pPr>
              <w:spacing w:after="0"/>
            </w:pPr>
            <w:r/>
            <w:r>
              <w:rPr>
                <w:b w:val="0"/>
              </w:rPr>
              <w:t>ai_publication_events</w:t>
            </w:r>
          </w:p>
        </w:tc>
        <w:tc>
          <w:tcPr>
            <w:tcW w:type="dxa" w:w="7344"/>
            <w:vAlign w:val="center"/>
          </w:tcPr>
          <w:p>
            <w:pPr>
              <w:spacing w:after="0"/>
            </w:pPr>
            <w:r/>
            <w:r>
              <w:rPr>
                <w:b w:val="0"/>
              </w:rPr>
              <w:t>Append-only events recording approved AI question publication.</w:t>
            </w:r>
          </w:p>
        </w:tc>
      </w:tr>
      <w:tr>
        <w:tc>
          <w:tcPr>
            <w:tcW w:type="dxa" w:w="3456"/>
            <w:vAlign w:val="center"/>
          </w:tcPr>
          <w:p>
            <w:pPr>
              <w:spacing w:after="0"/>
            </w:pPr>
            <w:r/>
            <w:r>
              <w:rPr>
                <w:b w:val="0"/>
              </w:rPr>
              <w:t>assessments / assessment_items</w:t>
            </w:r>
          </w:p>
        </w:tc>
        <w:tc>
          <w:tcPr>
            <w:tcW w:type="dxa" w:w="7344"/>
            <w:vAlign w:val="center"/>
          </w:tcPr>
          <w:p>
            <w:pPr>
              <w:spacing w:after="0"/>
            </w:pPr>
            <w:r/>
            <w:r>
              <w:rPr>
                <w:b w:val="0"/>
              </w:rPr>
              <w:t>Tenant assessment scope and version-locked execution items.</w:t>
            </w:r>
          </w:p>
        </w:tc>
      </w:tr>
      <w:tr>
        <w:tc>
          <w:tcPr>
            <w:tcW w:type="dxa" w:w="3456"/>
            <w:vAlign w:val="center"/>
          </w:tcPr>
          <w:p>
            <w:pPr>
              <w:spacing w:after="0"/>
            </w:pPr>
            <w:r/>
            <w:r>
              <w:rPr>
                <w:b w:val="0"/>
              </w:rPr>
              <w:t>answer_revisions / applicability_decisions / review_decisions</w:t>
            </w:r>
          </w:p>
        </w:tc>
        <w:tc>
          <w:tcPr>
            <w:tcW w:type="dxa" w:w="7344"/>
            <w:vAlign w:val="center"/>
          </w:tcPr>
          <w:p>
            <w:pPr>
              <w:spacing w:after="0"/>
            </w:pPr>
            <w:r/>
            <w:r>
              <w:rPr>
                <w:b w:val="0"/>
              </w:rPr>
              <w:t>Execution history for answers, applicability, and review.</w:t>
            </w:r>
          </w:p>
        </w:tc>
      </w:tr>
      <w:tr>
        <w:tc>
          <w:tcPr>
            <w:tcW w:type="dxa" w:w="3456"/>
            <w:vAlign w:val="center"/>
          </w:tcPr>
          <w:p>
            <w:pPr>
              <w:spacing w:after="0"/>
            </w:pPr>
            <w:r/>
            <w:r>
              <w:rPr>
                <w:b w:val="0"/>
              </w:rPr>
              <w:t>evidence_objects / evidence_versions / evidence_links</w:t>
            </w:r>
          </w:p>
        </w:tc>
        <w:tc>
          <w:tcPr>
            <w:tcW w:type="dxa" w:w="7344"/>
            <w:vAlign w:val="center"/>
          </w:tcPr>
          <w:p>
            <w:pPr>
              <w:spacing w:after="0"/>
            </w:pPr>
            <w:r/>
            <w:r>
              <w:rPr>
                <w:b w:val="0"/>
              </w:rPr>
              <w:t>Uploaded evidence, versions, and links to assessment items/controls.</w:t>
            </w:r>
          </w:p>
        </w:tc>
      </w:tr>
    </w:tbl>
    <w:p/>
    <w:p>
      <w:pPr>
        <w:pStyle w:val="Heading3"/>
      </w:pPr>
      <w:r>
        <w:t>Database Relationship Flow</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flowchart LR</w:t>
            </w:r>
          </w:p>
          <w:p>
            <w:pPr>
              <w:pStyle w:val="MermaidCode"/>
            </w:pPr>
            <w:r>
              <w:t xml:space="preserve">  Tenant["identity_tenants"] --&gt; Subs["tenant_catalog_subscriptions"]</w:t>
            </w:r>
          </w:p>
          <w:p>
            <w:pPr>
              <w:pStyle w:val="MermaidCode"/>
            </w:pPr>
            <w:r>
              <w:t xml:space="preserve">  Subs --&gt; FV["framework_versions"]</w:t>
            </w:r>
          </w:p>
          <w:p>
            <w:pPr>
              <w:pStyle w:val="MermaidCode"/>
            </w:pPr>
            <w:r>
              <w:t xml:space="preserve">  FV --&gt; Controls["controls"]</w:t>
            </w:r>
          </w:p>
          <w:p>
            <w:pPr>
              <w:pStyle w:val="MermaidCode"/>
            </w:pPr>
            <w:r>
              <w:t xml:space="preserve">  Controls --&gt; Mappings["control_mappings"]</w:t>
            </w:r>
          </w:p>
          <w:p>
            <w:pPr>
              <w:pStyle w:val="MermaidCode"/>
            </w:pPr>
            <w:r>
              <w:t xml:space="preserve">  Mappings --&gt; HC["harmonized_controls"]</w:t>
            </w:r>
          </w:p>
          <w:p>
            <w:pPr>
              <w:pStyle w:val="MermaidCode"/>
            </w:pPr>
            <w:r>
              <w:t xml:space="preserve">  HC --&gt; QS["question_sets"]</w:t>
            </w:r>
          </w:p>
          <w:p>
            <w:pPr>
              <w:pStyle w:val="MermaidCode"/>
            </w:pPr>
            <w:r>
              <w:t xml:space="preserve">  QS --&gt; QV["question_versions"]</w:t>
            </w:r>
          </w:p>
          <w:p>
            <w:pPr>
              <w:pStyle w:val="MermaidCode"/>
            </w:pPr>
            <w:r>
              <w:t xml:space="preserve">  QV --&gt; Items["assessment_items"]</w:t>
            </w:r>
          </w:p>
          <w:p>
            <w:pPr>
              <w:pStyle w:val="MermaidCode"/>
            </w:pPr>
            <w:r>
              <w:t xml:space="preserve">  Tenant --&gt; Assessments["assessments"]</w:t>
            </w:r>
          </w:p>
          <w:p>
            <w:pPr>
              <w:pStyle w:val="MermaidCode"/>
            </w:pPr>
            <w:r>
              <w:t xml:space="preserve">  Assessments --&gt; Items</w:t>
            </w:r>
          </w:p>
          <w:p>
            <w:pPr>
              <w:pStyle w:val="MermaidCode"/>
            </w:pPr>
            <w:r>
              <w:t xml:space="preserve">  Items --&gt; Answers["answer_revisions"]</w:t>
            </w:r>
          </w:p>
          <w:p>
            <w:pPr>
              <w:pStyle w:val="MermaidCode"/>
            </w:pPr>
            <w:r>
              <w:t xml:space="preserve">  Items --&gt; Evidence["evidence_links / evidence_objects"]</w:t>
            </w:r>
          </w:p>
          <w:p>
            <w:pPr>
              <w:pStyle w:val="MermaidCode"/>
            </w:pPr>
            <w:r>
              <w:t xml:space="preserve">  AI["ai_generation_runs + ai_question_versions"] --&gt; Pub["ai_publication_events"]</w:t>
            </w:r>
          </w:p>
          <w:p>
            <w:pPr>
              <w:pStyle w:val="MermaidCode"/>
            </w:pPr>
            <w:r>
              <w:t xml:space="preserve">  Pub --&gt; QV</w:t>
            </w:r>
          </w:p>
        </w:tc>
      </w:tr>
    </w:tbl>
    <w:p/>
    <w:p>
      <w:pPr>
        <w:pStyle w:val="Heading1"/>
      </w:pPr>
      <w:r>
        <w:t>16. Additional Workflow Diagrams</w:t>
      </w:r>
    </w:p>
    <w:p>
      <w:pPr>
        <w:pStyle w:val="Heading3"/>
      </w:pPr>
      <w:r>
        <w:t>Platform and Tenant Boundary</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flowchart TD</w:t>
            </w:r>
          </w:p>
          <w:p>
            <w:pPr>
              <w:pStyle w:val="MermaidCode"/>
            </w:pPr>
            <w:r>
              <w:t xml:space="preserve">  PSA["Platform Super Admin"] --&gt; PT["/platform/tenants"]</w:t>
            </w:r>
          </w:p>
          <w:p>
            <w:pPr>
              <w:pStyle w:val="MermaidCode"/>
            </w:pPr>
            <w:r>
              <w:t xml:space="preserve">  PSA --&gt; PQR["/platform/questions"]</w:t>
            </w:r>
          </w:p>
          <w:p>
            <w:pPr>
              <w:pStyle w:val="MermaidCode"/>
            </w:pPr>
            <w:r>
              <w:t xml:space="preserve">  PSA --&gt; GC["Global catalog visibility"]</w:t>
            </w:r>
          </w:p>
          <w:p>
            <w:pPr>
              <w:pStyle w:val="MermaidCode"/>
            </w:pPr>
            <w:r>
              <w:t xml:space="preserve">  PT --&gt; Tenant["Client tenant"]</w:t>
            </w:r>
          </w:p>
          <w:p>
            <w:pPr>
              <w:pStyle w:val="MermaidCode"/>
            </w:pPr>
            <w:r>
              <w:t xml:space="preserve">  Tenant --&gt; TA["Tenant Platform Admin"]</w:t>
            </w:r>
          </w:p>
          <w:p>
            <w:pPr>
              <w:pStyle w:val="MermaidCode"/>
            </w:pPr>
            <w:r>
              <w:t xml:space="preserve">  TA --&gt; Users["Tenant users"]</w:t>
            </w:r>
          </w:p>
          <w:p>
            <w:pPr>
              <w:pStyle w:val="MermaidCode"/>
            </w:pPr>
            <w:r>
              <w:t xml:space="preserve">  TA --&gt; Frameworks["Enable frameworks"]</w:t>
            </w:r>
          </w:p>
          <w:p>
            <w:pPr>
              <w:pStyle w:val="MermaidCode"/>
            </w:pPr>
            <w:r>
              <w:t xml:space="preserve">  Frameworks --&gt; Assessments["Assessment workspace"]</w:t>
            </w:r>
          </w:p>
          <w:p>
            <w:pPr>
              <w:pStyle w:val="MermaidCode"/>
            </w:pPr>
            <w:r>
              <w:t xml:space="preserve">  PQR --&gt; QR["Global Question Repository"]</w:t>
            </w:r>
          </w:p>
          <w:p>
            <w:pPr>
              <w:pStyle w:val="MermaidCode"/>
            </w:pPr>
            <w:r>
              <w:t xml:space="preserve">  QR --&gt; Assessments</w:t>
            </w:r>
          </w:p>
        </w:tc>
      </w:tr>
    </w:tbl>
    <w:p/>
    <w:p>
      <w:pPr>
        <w:pStyle w:val="Heading3"/>
      </w:pPr>
      <w:r>
        <w:t>Question to Assessment Traceability</w:t>
      </w:r>
    </w:p>
    <w:tbl>
      <w:tblPr>
        <w:tblStyle w:val="TableGrid"/>
        <w:tblW w:type="auto" w:w="0"/>
        <w:tblLook w:firstColumn="1" w:firstRow="1" w:lastColumn="0" w:lastRow="0" w:noHBand="0" w:noVBand="1" w:val="04A0"/>
      </w:tblPr>
      <w:tblGrid>
        <w:gridCol w:w="10080"/>
      </w:tblGrid>
      <w:tr>
        <w:tc>
          <w:tcPr>
            <w:tcW w:type="dxa" w:w="10080"/>
            <w:shd w:fill="F3F4F6"/>
          </w:tcPr>
          <w:p>
            <w:pPr>
              <w:pStyle w:val="MermaidCode"/>
            </w:pPr>
            <w:r>
              <w:t>flowchart TD</w:t>
            </w:r>
          </w:p>
          <w:p>
            <w:pPr>
              <w:pStyle w:val="MermaidCode"/>
            </w:pPr>
            <w:r>
              <w:t xml:space="preserve">  Source["Source framework control"] --&gt; Mapping["Control mapping"]</w:t>
            </w:r>
          </w:p>
          <w:p>
            <w:pPr>
              <w:pStyle w:val="MermaidCode"/>
            </w:pPr>
            <w:r>
              <w:t xml:space="preserve">  Mapping --&gt; Harmonized["Harmonized control"]</w:t>
            </w:r>
          </w:p>
          <w:p>
            <w:pPr>
              <w:pStyle w:val="MermaidCode"/>
            </w:pPr>
            <w:r>
              <w:t xml:space="preserve">  Harmonized --&gt; Set["Question set"]</w:t>
            </w:r>
          </w:p>
          <w:p>
            <w:pPr>
              <w:pStyle w:val="MermaidCode"/>
            </w:pPr>
            <w:r>
              <w:t xml:space="preserve">  Set --&gt; Version["Approved question version"]</w:t>
            </w:r>
          </w:p>
          <w:p>
            <w:pPr>
              <w:pStyle w:val="MermaidCode"/>
            </w:pPr>
            <w:r>
              <w:t xml:space="preserve">  Version --&gt; AssessmentItem["Assessment item questionVersionId"]</w:t>
            </w:r>
          </w:p>
          <w:p>
            <w:pPr>
              <w:pStyle w:val="MermaidCode"/>
            </w:pPr>
            <w:r>
              <w:t xml:space="preserve">  AssessmentItem --&gt; Answer["Answer revision"]</w:t>
            </w:r>
          </w:p>
          <w:p>
            <w:pPr>
              <w:pStyle w:val="MermaidCode"/>
            </w:pPr>
            <w:r>
              <w:t xml:space="preserve">  AssessmentItem --&gt; Evidence["Evidence link"]</w:t>
            </w:r>
          </w:p>
          <w:p>
            <w:pPr>
              <w:pStyle w:val="MermaidCode"/>
            </w:pPr>
            <w:r>
              <w:t xml:space="preserve">  Answer --&gt; Review["Review decision"]</w:t>
            </w:r>
          </w:p>
        </w:tc>
      </w:tr>
    </w:tbl>
    <w:p/>
    <w:p>
      <w:pPr>
        <w:pStyle w:val="Heading1"/>
      </w:pPr>
      <w:r>
        <w:t>17. Project Status</w:t>
      </w:r>
    </w:p>
    <w:p>
      <w:pPr>
        <w:pStyle w:val="Heading2"/>
      </w:pPr>
      <w:r>
        <w:t>17.1 Completed: Platform Initialization Through Assessment Execution</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F2937"/>
          </w:tcPr>
          <w:p>
            <w:pPr>
              <w:spacing w:after="0"/>
            </w:pPr>
            <w:r/>
            <w:r>
              <w:rPr>
                <w:b/>
                <w:color w:val="FFFFFF"/>
              </w:rPr>
              <w:t>Area</w:t>
            </w:r>
          </w:p>
        </w:tc>
        <w:tc>
          <w:tcPr>
            <w:tcW w:type="dxa" w:w="1872"/>
            <w:vAlign w:val="center"/>
            <w:shd w:fill="1F2937"/>
          </w:tcPr>
          <w:p>
            <w:pPr>
              <w:spacing w:after="0"/>
            </w:pPr>
            <w:r/>
            <w:r>
              <w:rPr>
                <w:b/>
                <w:color w:val="FFFFFF"/>
              </w:rPr>
              <w:t>Status</w:t>
            </w:r>
          </w:p>
        </w:tc>
        <w:tc>
          <w:tcPr>
            <w:tcW w:type="dxa" w:w="5760"/>
            <w:vAlign w:val="center"/>
            <w:shd w:fill="1F2937"/>
          </w:tcPr>
          <w:p>
            <w:pPr>
              <w:spacing w:after="0"/>
            </w:pPr>
            <w:r/>
            <w:r>
              <w:rPr>
                <w:b/>
                <w:color w:val="FFFFFF"/>
              </w:rPr>
              <w:t>Notes</w:t>
            </w:r>
          </w:p>
        </w:tc>
      </w:tr>
      <w:tr>
        <w:tc>
          <w:tcPr>
            <w:tcW w:type="dxa" w:w="3168"/>
            <w:vAlign w:val="center"/>
          </w:tcPr>
          <w:p>
            <w:pPr>
              <w:spacing w:after="0"/>
            </w:pPr>
            <w:r/>
            <w:r>
              <w:rPr>
                <w:b w:val="0"/>
              </w:rPr>
              <w:t>Platform Super Admin</w:t>
            </w:r>
          </w:p>
        </w:tc>
        <w:tc>
          <w:tcPr>
            <w:tcW w:type="dxa" w:w="1872"/>
            <w:vAlign w:val="center"/>
          </w:tcPr>
          <w:p>
            <w:pPr>
              <w:spacing w:after="0"/>
            </w:pPr>
            <w:r/>
            <w:r>
              <w:rPr>
                <w:b w:val="0"/>
              </w:rPr>
              <w:t>Completed</w:t>
            </w:r>
          </w:p>
        </w:tc>
        <w:tc>
          <w:tcPr>
            <w:tcW w:type="dxa" w:w="5760"/>
            <w:vAlign w:val="center"/>
          </w:tcPr>
          <w:p>
            <w:pPr>
              <w:spacing w:after="0"/>
            </w:pPr>
            <w:r/>
            <w:r>
              <w:rPr>
                <w:b w:val="0"/>
              </w:rPr>
              <w:t>Can onboard tenants and first tenant admins; separate from tenant admin.</w:t>
            </w:r>
          </w:p>
        </w:tc>
      </w:tr>
      <w:tr>
        <w:tc>
          <w:tcPr>
            <w:tcW w:type="dxa" w:w="3168"/>
            <w:vAlign w:val="center"/>
          </w:tcPr>
          <w:p>
            <w:pPr>
              <w:spacing w:after="0"/>
            </w:pPr>
            <w:r/>
            <w:r>
              <w:rPr>
                <w:b w:val="0"/>
              </w:rPr>
              <w:t>Tenant Onboarding</w:t>
            </w:r>
          </w:p>
        </w:tc>
        <w:tc>
          <w:tcPr>
            <w:tcW w:type="dxa" w:w="1872"/>
            <w:vAlign w:val="center"/>
          </w:tcPr>
          <w:p>
            <w:pPr>
              <w:spacing w:after="0"/>
            </w:pPr>
            <w:r/>
            <w:r>
              <w:rPr>
                <w:b w:val="0"/>
              </w:rPr>
              <w:t>Completed</w:t>
            </w:r>
          </w:p>
        </w:tc>
        <w:tc>
          <w:tcPr>
            <w:tcW w:type="dxa" w:w="5760"/>
            <w:vAlign w:val="center"/>
          </w:tcPr>
          <w:p>
            <w:pPr>
              <w:spacing w:after="0"/>
            </w:pPr>
            <w:r/>
            <w:r>
              <w:rPr>
                <w:b w:val="0"/>
              </w:rPr>
              <w:t>Tenant creation and first admin provisioning are available.</w:t>
            </w:r>
          </w:p>
        </w:tc>
      </w:tr>
      <w:tr>
        <w:tc>
          <w:tcPr>
            <w:tcW w:type="dxa" w:w="3168"/>
            <w:vAlign w:val="center"/>
          </w:tcPr>
          <w:p>
            <w:pPr>
              <w:spacing w:after="0"/>
            </w:pPr>
            <w:r/>
            <w:r>
              <w:rPr>
                <w:b w:val="0"/>
              </w:rPr>
              <w:t>User Onboarding</w:t>
            </w:r>
          </w:p>
        </w:tc>
        <w:tc>
          <w:tcPr>
            <w:tcW w:type="dxa" w:w="1872"/>
            <w:vAlign w:val="center"/>
          </w:tcPr>
          <w:p>
            <w:pPr>
              <w:spacing w:after="0"/>
            </w:pPr>
            <w:r/>
            <w:r>
              <w:rPr>
                <w:b w:val="0"/>
              </w:rPr>
              <w:t>Completed</w:t>
            </w:r>
          </w:p>
        </w:tc>
        <w:tc>
          <w:tcPr>
            <w:tcW w:type="dxa" w:w="5760"/>
            <w:vAlign w:val="center"/>
          </w:tcPr>
          <w:p>
            <w:pPr>
              <w:spacing w:after="0"/>
            </w:pPr>
            <w:r/>
            <w:r>
              <w:rPr>
                <w:b w:val="0"/>
              </w:rPr>
              <w:t>Tenant user invite, role assignment, clearance assignment, deactivate/reactivate workflow exists.</w:t>
            </w:r>
          </w:p>
        </w:tc>
      </w:tr>
      <w:tr>
        <w:tc>
          <w:tcPr>
            <w:tcW w:type="dxa" w:w="3168"/>
            <w:vAlign w:val="center"/>
          </w:tcPr>
          <w:p>
            <w:pPr>
              <w:spacing w:after="0"/>
            </w:pPr>
            <w:r/>
            <w:r>
              <w:rPr>
                <w:b w:val="0"/>
              </w:rPr>
              <w:t>Framework Repository</w:t>
            </w:r>
          </w:p>
        </w:tc>
        <w:tc>
          <w:tcPr>
            <w:tcW w:type="dxa" w:w="1872"/>
            <w:vAlign w:val="center"/>
          </w:tcPr>
          <w:p>
            <w:pPr>
              <w:spacing w:after="0"/>
            </w:pPr>
            <w:r/>
            <w:r>
              <w:rPr>
                <w:b w:val="0"/>
              </w:rPr>
              <w:t>Completed</w:t>
            </w:r>
          </w:p>
        </w:tc>
        <w:tc>
          <w:tcPr>
            <w:tcW w:type="dxa" w:w="5760"/>
            <w:vAlign w:val="center"/>
          </w:tcPr>
          <w:p>
            <w:pPr>
              <w:spacing w:after="0"/>
            </w:pPr>
            <w:r/>
            <w:r>
              <w:rPr>
                <w:b w:val="0"/>
              </w:rPr>
              <w:t>Source workbooks parsed into published global framework content.</w:t>
            </w:r>
          </w:p>
        </w:tc>
      </w:tr>
      <w:tr>
        <w:tc>
          <w:tcPr>
            <w:tcW w:type="dxa" w:w="3168"/>
            <w:vAlign w:val="center"/>
          </w:tcPr>
          <w:p>
            <w:pPr>
              <w:spacing w:after="0"/>
            </w:pPr>
            <w:r/>
            <w:r>
              <w:rPr>
                <w:b w:val="0"/>
              </w:rPr>
              <w:t>Framework Enablement</w:t>
            </w:r>
          </w:p>
        </w:tc>
        <w:tc>
          <w:tcPr>
            <w:tcW w:type="dxa" w:w="1872"/>
            <w:vAlign w:val="center"/>
          </w:tcPr>
          <w:p>
            <w:pPr>
              <w:spacing w:after="0"/>
            </w:pPr>
            <w:r/>
            <w:r>
              <w:rPr>
                <w:b w:val="0"/>
              </w:rPr>
              <w:t>Completed</w:t>
            </w:r>
          </w:p>
        </w:tc>
        <w:tc>
          <w:tcPr>
            <w:tcW w:type="dxa" w:w="5760"/>
            <w:vAlign w:val="center"/>
          </w:tcPr>
          <w:p>
            <w:pPr>
              <w:spacing w:after="0"/>
            </w:pPr>
            <w:r/>
            <w:r>
              <w:rPr>
                <w:b w:val="0"/>
              </w:rPr>
              <w:t>Tenant subscribes to published framework versions.</w:t>
            </w:r>
          </w:p>
        </w:tc>
      </w:tr>
      <w:tr>
        <w:tc>
          <w:tcPr>
            <w:tcW w:type="dxa" w:w="3168"/>
            <w:vAlign w:val="center"/>
          </w:tcPr>
          <w:p>
            <w:pPr>
              <w:spacing w:after="0"/>
            </w:pPr>
            <w:r/>
            <w:r>
              <w:rPr>
                <w:b w:val="0"/>
              </w:rPr>
              <w:t>Harmonized Control Model</w:t>
            </w:r>
          </w:p>
        </w:tc>
        <w:tc>
          <w:tcPr>
            <w:tcW w:type="dxa" w:w="1872"/>
            <w:vAlign w:val="center"/>
          </w:tcPr>
          <w:p>
            <w:pPr>
              <w:spacing w:after="0"/>
            </w:pPr>
            <w:r/>
            <w:r>
              <w:rPr>
                <w:b w:val="0"/>
              </w:rPr>
              <w:t>Completed for Phase 1</w:t>
            </w:r>
          </w:p>
        </w:tc>
        <w:tc>
          <w:tcPr>
            <w:tcW w:type="dxa" w:w="5760"/>
            <w:vAlign w:val="center"/>
          </w:tcPr>
          <w:p>
            <w:pPr>
              <w:spacing w:after="0"/>
            </w:pPr>
            <w:r/>
            <w:r>
              <w:rPr>
                <w:b w:val="0"/>
              </w:rPr>
              <w:t>Controls and mappings support question/assessment resolution.</w:t>
            </w:r>
          </w:p>
        </w:tc>
      </w:tr>
      <w:tr>
        <w:tc>
          <w:tcPr>
            <w:tcW w:type="dxa" w:w="3168"/>
            <w:vAlign w:val="center"/>
          </w:tcPr>
          <w:p>
            <w:pPr>
              <w:spacing w:after="0"/>
            </w:pPr>
            <w:r/>
            <w:r>
              <w:rPr>
                <w:b w:val="0"/>
              </w:rPr>
              <w:t>Question Repository</w:t>
            </w:r>
          </w:p>
        </w:tc>
        <w:tc>
          <w:tcPr>
            <w:tcW w:type="dxa" w:w="1872"/>
            <w:vAlign w:val="center"/>
          </w:tcPr>
          <w:p>
            <w:pPr>
              <w:spacing w:after="0"/>
            </w:pPr>
            <w:r/>
            <w:r>
              <w:rPr>
                <w:b w:val="0"/>
              </w:rPr>
              <w:t>Completed for Phase 1</w:t>
            </w:r>
          </w:p>
        </w:tc>
        <w:tc>
          <w:tcPr>
            <w:tcW w:type="dxa" w:w="5760"/>
            <w:vAlign w:val="center"/>
          </w:tcPr>
          <w:p>
            <w:pPr>
              <w:spacing w:after="0"/>
            </w:pPr>
            <w:r/>
            <w:r>
              <w:rPr>
                <w:b w:val="0"/>
              </w:rPr>
              <w:t>Manual, curated, and AI-origin approved question versions are reusable.</w:t>
            </w:r>
          </w:p>
        </w:tc>
      </w:tr>
      <w:tr>
        <w:tc>
          <w:tcPr>
            <w:tcW w:type="dxa" w:w="3168"/>
            <w:vAlign w:val="center"/>
          </w:tcPr>
          <w:p>
            <w:pPr>
              <w:spacing w:after="0"/>
            </w:pPr>
            <w:r/>
            <w:r>
              <w:rPr>
                <w:b w:val="0"/>
              </w:rPr>
              <w:t>AI Question Generation</w:t>
            </w:r>
          </w:p>
        </w:tc>
        <w:tc>
          <w:tcPr>
            <w:tcW w:type="dxa" w:w="1872"/>
            <w:vAlign w:val="center"/>
          </w:tcPr>
          <w:p>
            <w:pPr>
              <w:spacing w:after="0"/>
            </w:pPr>
            <w:r/>
            <w:r>
              <w:rPr>
                <w:b w:val="0"/>
              </w:rPr>
              <w:t>Completed for Phase 1</w:t>
            </w:r>
          </w:p>
        </w:tc>
        <w:tc>
          <w:tcPr>
            <w:tcW w:type="dxa" w:w="5760"/>
            <w:vAlign w:val="center"/>
          </w:tcPr>
          <w:p>
            <w:pPr>
              <w:spacing w:after="0"/>
            </w:pPr>
            <w:r/>
            <w:r>
              <w:rPr>
                <w:b w:val="0"/>
              </w:rPr>
              <w:t>Generates governed assessment questions with citations/evidence expectations, human review, and publication.</w:t>
            </w:r>
          </w:p>
        </w:tc>
      </w:tr>
      <w:tr>
        <w:tc>
          <w:tcPr>
            <w:tcW w:type="dxa" w:w="3168"/>
            <w:vAlign w:val="center"/>
          </w:tcPr>
          <w:p>
            <w:pPr>
              <w:spacing w:after="0"/>
            </w:pPr>
            <w:r/>
            <w:r>
              <w:rPr>
                <w:b w:val="0"/>
              </w:rPr>
              <w:t>Assessment Creation</w:t>
            </w:r>
          </w:p>
        </w:tc>
        <w:tc>
          <w:tcPr>
            <w:tcW w:type="dxa" w:w="1872"/>
            <w:vAlign w:val="center"/>
          </w:tcPr>
          <w:p>
            <w:pPr>
              <w:spacing w:after="0"/>
            </w:pPr>
            <w:r/>
            <w:r>
              <w:rPr>
                <w:b w:val="0"/>
              </w:rPr>
              <w:t>Completed</w:t>
            </w:r>
          </w:p>
        </w:tc>
        <w:tc>
          <w:tcPr>
            <w:tcW w:type="dxa" w:w="5760"/>
            <w:vAlign w:val="center"/>
          </w:tcPr>
          <w:p>
            <w:pPr>
              <w:spacing w:after="0"/>
            </w:pPr>
            <w:r/>
            <w:r>
              <w:rPr>
                <w:b w:val="0"/>
              </w:rPr>
              <w:t>Creates assessments from enabled-framework approved question versions; no placeholder fabrication.</w:t>
            </w:r>
          </w:p>
        </w:tc>
      </w:tr>
      <w:tr>
        <w:tc>
          <w:tcPr>
            <w:tcW w:type="dxa" w:w="3168"/>
            <w:vAlign w:val="center"/>
          </w:tcPr>
          <w:p>
            <w:pPr>
              <w:spacing w:after="0"/>
            </w:pPr>
            <w:r/>
            <w:r>
              <w:rPr>
                <w:b w:val="0"/>
              </w:rPr>
              <w:t>Assessment Execution</w:t>
            </w:r>
          </w:p>
        </w:tc>
        <w:tc>
          <w:tcPr>
            <w:tcW w:type="dxa" w:w="1872"/>
            <w:vAlign w:val="center"/>
          </w:tcPr>
          <w:p>
            <w:pPr>
              <w:spacing w:after="0"/>
            </w:pPr>
            <w:r/>
            <w:r>
              <w:rPr>
                <w:b w:val="0"/>
              </w:rPr>
              <w:t>Completed for Phase 1</w:t>
            </w:r>
          </w:p>
        </w:tc>
        <w:tc>
          <w:tcPr>
            <w:tcW w:type="dxa" w:w="5760"/>
            <w:vAlign w:val="center"/>
          </w:tcPr>
          <w:p>
            <w:pPr>
              <w:spacing w:after="0"/>
            </w:pPr>
            <w:r/>
            <w:r>
              <w:rPr>
                <w:b w:val="0"/>
              </w:rPr>
              <w:t>Applicability, typed answers, evidence upload/linking, review, reopen, and close workflow exists.</w:t>
            </w:r>
          </w:p>
        </w:tc>
      </w:tr>
    </w:tbl>
    <w:p/>
    <w:p>
      <w:pPr>
        <w:pStyle w:val="Heading2"/>
      </w:pPr>
      <w:r>
        <w:t>17.2 MVP Stage: Integrated but Workflow Pending</w:t>
      </w:r>
    </w:p>
    <w:p>
      <w:r>
        <w:t>The modules below may have backend integration, foundational schema, UI surfaces, or partial flows. They should not be represented as fully completed end-to-end product workflows in this Phase 1 document. The correct status statement is: Backend integration and foundational implementation exist, but complete end-to-end workflows are still under development according to the PRD.</w:t>
      </w:r>
    </w:p>
    <w:tbl>
      <w:tblPr>
        <w:tblStyle w:val="TableGrid"/>
        <w:tblW w:type="auto" w:w="0"/>
        <w:jc w:val="center"/>
        <w:tblLook w:firstColumn="1" w:firstRow="1" w:lastColumn="0" w:lastRow="0" w:noHBand="0" w:noVBand="1" w:val="04A0"/>
      </w:tblPr>
      <w:tblGrid>
        <w:gridCol w:w="5040"/>
        <w:gridCol w:w="5040"/>
      </w:tblGrid>
      <w:tr>
        <w:tc>
          <w:tcPr>
            <w:tcW w:type="dxa" w:w="4608"/>
            <w:vAlign w:val="center"/>
            <w:shd w:fill="1F2937"/>
          </w:tcPr>
          <w:p>
            <w:pPr>
              <w:spacing w:after="0"/>
            </w:pPr>
            <w:r/>
            <w:r>
              <w:rPr>
                <w:b/>
                <w:color w:val="FFFFFF"/>
              </w:rPr>
              <w:t>Module</w:t>
            </w:r>
          </w:p>
        </w:tc>
        <w:tc>
          <w:tcPr>
            <w:tcW w:type="dxa" w:w="6192"/>
            <w:vAlign w:val="center"/>
            <w:shd w:fill="1F2937"/>
          </w:tcPr>
          <w:p>
            <w:pPr>
              <w:spacing w:after="0"/>
            </w:pPr>
            <w:r/>
            <w:r>
              <w:rPr>
                <w:b/>
                <w:color w:val="FFFFFF"/>
              </w:rPr>
              <w:t>Status</w:t>
            </w:r>
          </w:p>
        </w:tc>
      </w:tr>
      <w:tr>
        <w:tc>
          <w:tcPr>
            <w:tcW w:type="dxa" w:w="4608"/>
            <w:vAlign w:val="center"/>
          </w:tcPr>
          <w:p>
            <w:pPr>
              <w:spacing w:after="0"/>
            </w:pPr>
            <w:r/>
            <w:r>
              <w:rPr>
                <w:b w:val="0"/>
              </w:rPr>
              <w:t>Reporting &amp; Analytics</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Enterprise Risk Register</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Privacy Operations</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Integrations</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Framework Updates</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Evidence Automation</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Workflow Automation</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Enterprise GRC</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Vendor Management</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Trust Center</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AI Advisory</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Platform Hardening</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External Auditor Portal</w:t>
            </w:r>
          </w:p>
        </w:tc>
        <w:tc>
          <w:tcPr>
            <w:tcW w:type="dxa" w:w="6192"/>
            <w:vAlign w:val="center"/>
          </w:tcPr>
          <w:p>
            <w:pPr>
              <w:spacing w:after="0"/>
            </w:pPr>
            <w:r/>
            <w:r>
              <w:rPr>
                <w:b w:val="0"/>
              </w:rPr>
              <w:t>MVP workflow pending</w:t>
            </w:r>
          </w:p>
        </w:tc>
      </w:tr>
      <w:tr>
        <w:tc>
          <w:tcPr>
            <w:tcW w:type="dxa" w:w="4608"/>
            <w:vAlign w:val="center"/>
          </w:tcPr>
          <w:p>
            <w:pPr>
              <w:spacing w:after="0"/>
            </w:pPr>
            <w:r/>
            <w:r>
              <w:rPr>
                <w:b w:val="0"/>
              </w:rPr>
              <w:t>Advanced Reporting</w:t>
            </w:r>
          </w:p>
        </w:tc>
        <w:tc>
          <w:tcPr>
            <w:tcW w:type="dxa" w:w="6192"/>
            <w:vAlign w:val="center"/>
          </w:tcPr>
          <w:p>
            <w:pPr>
              <w:spacing w:after="0"/>
            </w:pPr>
            <w:r/>
            <w:r>
              <w:rPr>
                <w:b w:val="0"/>
              </w:rPr>
              <w:t>MVP workflow pending</w:t>
            </w:r>
          </w:p>
        </w:tc>
      </w:tr>
    </w:tbl>
    <w:p/>
    <w:p>
      <w:pPr>
        <w:pStyle w:val="Heading1"/>
      </w:pPr>
      <w:r>
        <w:t>18. Cross-References and Reader Guide</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2937"/>
          </w:tcPr>
          <w:p>
            <w:pPr>
              <w:spacing w:after="0"/>
            </w:pPr>
            <w:r/>
            <w:r>
              <w:rPr>
                <w:b/>
                <w:color w:val="FFFFFF"/>
              </w:rPr>
              <w:t>Audience</w:t>
            </w:r>
          </w:p>
        </w:tc>
        <w:tc>
          <w:tcPr>
            <w:tcW w:type="dxa" w:w="8208"/>
            <w:vAlign w:val="center"/>
            <w:shd w:fill="1F2937"/>
          </w:tcPr>
          <w:p>
            <w:pPr>
              <w:spacing w:after="0"/>
            </w:pPr>
            <w:r/>
            <w:r>
              <w:rPr>
                <w:b/>
                <w:color w:val="FFFFFF"/>
              </w:rPr>
              <w:t>Recommended path</w:t>
            </w:r>
          </w:p>
        </w:tc>
      </w:tr>
      <w:tr>
        <w:tc>
          <w:tcPr>
            <w:tcW w:type="dxa" w:w="2592"/>
            <w:vAlign w:val="center"/>
          </w:tcPr>
          <w:p>
            <w:pPr>
              <w:spacing w:after="0"/>
            </w:pPr>
            <w:r/>
            <w:r>
              <w:rPr>
                <w:b w:val="0"/>
              </w:rPr>
              <w:t>New developer</w:t>
            </w:r>
          </w:p>
        </w:tc>
        <w:tc>
          <w:tcPr>
            <w:tcW w:type="dxa" w:w="8208"/>
            <w:vAlign w:val="center"/>
          </w:tcPr>
          <w:p>
            <w:pPr>
              <w:spacing w:after="0"/>
            </w:pPr>
            <w:r/>
            <w:r>
              <w:rPr>
                <w:b w:val="0"/>
              </w:rPr>
              <w:t>Read Sections 2-3, 8-15 to understand the intended product architecture before reading source code.</w:t>
            </w:r>
          </w:p>
        </w:tc>
      </w:tr>
      <w:tr>
        <w:tc>
          <w:tcPr>
            <w:tcW w:type="dxa" w:w="2592"/>
            <w:vAlign w:val="center"/>
          </w:tcPr>
          <w:p>
            <w:pPr>
              <w:spacing w:after="0"/>
            </w:pPr>
            <w:r/>
            <w:r>
              <w:rPr>
                <w:b w:val="0"/>
              </w:rPr>
              <w:t>Product owner</w:t>
            </w:r>
          </w:p>
        </w:tc>
        <w:tc>
          <w:tcPr>
            <w:tcW w:type="dxa" w:w="8208"/>
            <w:vAlign w:val="center"/>
          </w:tcPr>
          <w:p>
            <w:pPr>
              <w:spacing w:after="0"/>
            </w:pPr>
            <w:r/>
            <w:r>
              <w:rPr>
                <w:b w:val="0"/>
              </w:rPr>
              <w:t>Read Sections 1-2, 4-13, and 17 to understand completed workflow and MVP boundaries.</w:t>
            </w:r>
          </w:p>
        </w:tc>
      </w:tr>
      <w:tr>
        <w:tc>
          <w:tcPr>
            <w:tcW w:type="dxa" w:w="2592"/>
            <w:vAlign w:val="center"/>
          </w:tcPr>
          <w:p>
            <w:pPr>
              <w:spacing w:after="0"/>
            </w:pPr>
            <w:r/>
            <w:r>
              <w:rPr>
                <w:b w:val="0"/>
              </w:rPr>
              <w:t>QA engineer</w:t>
            </w:r>
          </w:p>
        </w:tc>
        <w:tc>
          <w:tcPr>
            <w:tcW w:type="dxa" w:w="8208"/>
            <w:vAlign w:val="center"/>
          </w:tcPr>
          <w:p>
            <w:pPr>
              <w:spacing w:after="0"/>
            </w:pPr>
            <w:r/>
            <w:r>
              <w:rPr>
                <w:b w:val="0"/>
              </w:rPr>
              <w:t>Read Sections 6-13 and use the Mermaid workflows to design end-to-end manual and browser tests.</w:t>
            </w:r>
          </w:p>
        </w:tc>
      </w:tr>
      <w:tr>
        <w:tc>
          <w:tcPr>
            <w:tcW w:type="dxa" w:w="2592"/>
            <w:vAlign w:val="center"/>
          </w:tcPr>
          <w:p>
            <w:pPr>
              <w:spacing w:after="0"/>
            </w:pPr>
            <w:r/>
            <w:r>
              <w:rPr>
                <w:b w:val="0"/>
              </w:rPr>
              <w:t>Stakeholder</w:t>
            </w:r>
          </w:p>
        </w:tc>
        <w:tc>
          <w:tcPr>
            <w:tcW w:type="dxa" w:w="8208"/>
            <w:vAlign w:val="center"/>
          </w:tcPr>
          <w:p>
            <w:pPr>
              <w:spacing w:after="0"/>
            </w:pPr>
            <w:r/>
            <w:r>
              <w:rPr>
                <w:b w:val="0"/>
              </w:rPr>
              <w:t>Read Sections 1, 2, 4, 14, and 17 to understand business workflow and project status.</w:t>
            </w:r>
          </w:p>
        </w:tc>
      </w:tr>
    </w:tbl>
    <w:p/>
    <w:p>
      <w:pPr>
        <w:pStyle w:val="Heading1"/>
      </w:pPr>
      <w:r>
        <w:t>19. Glossary</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2937"/>
          </w:tcPr>
          <w:p>
            <w:pPr>
              <w:spacing w:after="0"/>
            </w:pPr>
            <w:r/>
            <w:r>
              <w:rPr>
                <w:b/>
                <w:color w:val="FFFFFF"/>
              </w:rPr>
              <w:t>Term</w:t>
            </w:r>
          </w:p>
        </w:tc>
        <w:tc>
          <w:tcPr>
            <w:tcW w:type="dxa" w:w="7920"/>
            <w:vAlign w:val="center"/>
            <w:shd w:fill="1F2937"/>
          </w:tcPr>
          <w:p>
            <w:pPr>
              <w:spacing w:after="0"/>
            </w:pPr>
            <w:r/>
            <w:r>
              <w:rPr>
                <w:b/>
                <w:color w:val="FFFFFF"/>
              </w:rPr>
              <w:t>Definition</w:t>
            </w:r>
          </w:p>
        </w:tc>
      </w:tr>
      <w:tr>
        <w:tc>
          <w:tcPr>
            <w:tcW w:type="dxa" w:w="2880"/>
            <w:vAlign w:val="center"/>
          </w:tcPr>
          <w:p>
            <w:pPr>
              <w:spacing w:after="0"/>
            </w:pPr>
            <w:r/>
            <w:r>
              <w:rPr>
                <w:b w:val="0"/>
              </w:rPr>
              <w:t>Canonical catalog</w:t>
            </w:r>
          </w:p>
        </w:tc>
        <w:tc>
          <w:tcPr>
            <w:tcW w:type="dxa" w:w="7920"/>
            <w:vAlign w:val="center"/>
          </w:tcPr>
          <w:p>
            <w:pPr>
              <w:spacing w:after="0"/>
            </w:pPr>
            <w:r/>
            <w:r>
              <w:rPr>
                <w:b w:val="0"/>
              </w:rPr>
              <w:t>Cybernara-owned global framework, mapping, harmonized control, and question content.</w:t>
            </w:r>
          </w:p>
        </w:tc>
      </w:tr>
      <w:tr>
        <w:tc>
          <w:tcPr>
            <w:tcW w:type="dxa" w:w="2880"/>
            <w:vAlign w:val="center"/>
          </w:tcPr>
          <w:p>
            <w:pPr>
              <w:spacing w:after="0"/>
            </w:pPr>
            <w:r/>
            <w:r>
              <w:rPr>
                <w:b w:val="0"/>
              </w:rPr>
              <w:t>Tenant</w:t>
            </w:r>
          </w:p>
        </w:tc>
        <w:tc>
          <w:tcPr>
            <w:tcW w:type="dxa" w:w="7920"/>
            <w:vAlign w:val="center"/>
          </w:tcPr>
          <w:p>
            <w:pPr>
              <w:spacing w:after="0"/>
            </w:pPr>
            <w:r/>
            <w:r>
              <w:rPr>
                <w:b w:val="0"/>
              </w:rPr>
              <w:t>A customer organization boundary with isolated users and operational data.</w:t>
            </w:r>
          </w:p>
        </w:tc>
      </w:tr>
      <w:tr>
        <w:tc>
          <w:tcPr>
            <w:tcW w:type="dxa" w:w="2880"/>
            <w:vAlign w:val="center"/>
          </w:tcPr>
          <w:p>
            <w:pPr>
              <w:spacing w:after="0"/>
            </w:pPr>
            <w:r/>
            <w:r>
              <w:rPr>
                <w:b w:val="0"/>
              </w:rPr>
              <w:t>Framework enablement</w:t>
            </w:r>
          </w:p>
        </w:tc>
        <w:tc>
          <w:tcPr>
            <w:tcW w:type="dxa" w:w="7920"/>
            <w:vAlign w:val="center"/>
          </w:tcPr>
          <w:p>
            <w:pPr>
              <w:spacing w:after="0"/>
            </w:pPr>
            <w:r/>
            <w:r>
              <w:rPr>
                <w:b w:val="0"/>
              </w:rPr>
              <w:t>Tenant subscription to a published framework version.</w:t>
            </w:r>
          </w:p>
        </w:tc>
      </w:tr>
      <w:tr>
        <w:tc>
          <w:tcPr>
            <w:tcW w:type="dxa" w:w="2880"/>
            <w:vAlign w:val="center"/>
          </w:tcPr>
          <w:p>
            <w:pPr>
              <w:spacing w:after="0"/>
            </w:pPr>
            <w:r/>
            <w:r>
              <w:rPr>
                <w:b w:val="0"/>
              </w:rPr>
              <w:t>Harmonized control</w:t>
            </w:r>
          </w:p>
        </w:tc>
        <w:tc>
          <w:tcPr>
            <w:tcW w:type="dxa" w:w="7920"/>
            <w:vAlign w:val="center"/>
          </w:tcPr>
          <w:p>
            <w:pPr>
              <w:spacing w:after="0"/>
            </w:pPr>
            <w:r/>
            <w:r>
              <w:rPr>
                <w:b w:val="0"/>
              </w:rPr>
              <w:t>A normalized cross-framework control concept.</w:t>
            </w:r>
          </w:p>
        </w:tc>
      </w:tr>
      <w:tr>
        <w:tc>
          <w:tcPr>
            <w:tcW w:type="dxa" w:w="2880"/>
            <w:vAlign w:val="center"/>
          </w:tcPr>
          <w:p>
            <w:pPr>
              <w:spacing w:after="0"/>
            </w:pPr>
            <w:r/>
            <w:r>
              <w:rPr>
                <w:b w:val="0"/>
              </w:rPr>
              <w:t>Question set</w:t>
            </w:r>
          </w:p>
        </w:tc>
        <w:tc>
          <w:tcPr>
            <w:tcW w:type="dxa" w:w="7920"/>
            <w:vAlign w:val="center"/>
          </w:tcPr>
          <w:p>
            <w:pPr>
              <w:spacing w:after="0"/>
            </w:pPr>
            <w:r/>
            <w:r>
              <w:rPr>
                <w:b w:val="0"/>
              </w:rPr>
              <w:t>Logical grouping of question versions for a control/source type.</w:t>
            </w:r>
          </w:p>
        </w:tc>
      </w:tr>
      <w:tr>
        <w:tc>
          <w:tcPr>
            <w:tcW w:type="dxa" w:w="2880"/>
            <w:vAlign w:val="center"/>
          </w:tcPr>
          <w:p>
            <w:pPr>
              <w:spacing w:after="0"/>
            </w:pPr>
            <w:r/>
            <w:r>
              <w:rPr>
                <w:b w:val="0"/>
              </w:rPr>
              <w:t>Question version</w:t>
            </w:r>
          </w:p>
        </w:tc>
        <w:tc>
          <w:tcPr>
            <w:tcW w:type="dxa" w:w="7920"/>
            <w:vAlign w:val="center"/>
          </w:tcPr>
          <w:p>
            <w:pPr>
              <w:spacing w:after="0"/>
            </w:pPr>
            <w:r/>
            <w:r>
              <w:rPr>
                <w:b w:val="0"/>
              </w:rPr>
              <w:t>Versioned assessment question content with status, response type, evidence expectations, citations, and provenance.</w:t>
            </w:r>
          </w:p>
        </w:tc>
      </w:tr>
      <w:tr>
        <w:tc>
          <w:tcPr>
            <w:tcW w:type="dxa" w:w="2880"/>
            <w:vAlign w:val="center"/>
          </w:tcPr>
          <w:p>
            <w:pPr>
              <w:spacing w:after="0"/>
            </w:pPr>
            <w:r/>
            <w:r>
              <w:rPr>
                <w:b w:val="0"/>
              </w:rPr>
              <w:t>AI publication</w:t>
            </w:r>
          </w:p>
        </w:tc>
        <w:tc>
          <w:tcPr>
            <w:tcW w:type="dxa" w:w="7920"/>
            <w:vAlign w:val="center"/>
          </w:tcPr>
          <w:p>
            <w:pPr>
              <w:spacing w:after="0"/>
            </w:pPr>
            <w:r/>
            <w:r>
              <w:rPr>
                <w:b w:val="0"/>
              </w:rPr>
              <w:t>The human-governed act of promoting approved AI-origin questions into the Question Repository.</w:t>
            </w:r>
          </w:p>
        </w:tc>
      </w:tr>
      <w:tr>
        <w:tc>
          <w:tcPr>
            <w:tcW w:type="dxa" w:w="2880"/>
            <w:vAlign w:val="center"/>
          </w:tcPr>
          <w:p>
            <w:pPr>
              <w:spacing w:after="0"/>
            </w:pPr>
            <w:r/>
            <w:r>
              <w:rPr>
                <w:b w:val="0"/>
              </w:rPr>
              <w:t>Pinned control reference</w:t>
            </w:r>
          </w:p>
        </w:tc>
        <w:tc>
          <w:tcPr>
            <w:tcW w:type="dxa" w:w="7920"/>
            <w:vAlign w:val="center"/>
          </w:tcPr>
          <w:p>
            <w:pPr>
              <w:spacing w:after="0"/>
            </w:pPr>
            <w:r/>
            <w:r>
              <w:rPr>
                <w:b w:val="0"/>
              </w:rPr>
              <w:t>Assessment item metadata locking framework, mapping, control, harmonized control, and question version.</w:t>
            </w:r>
          </w:p>
        </w:tc>
      </w:tr>
      <w:tr>
        <w:tc>
          <w:tcPr>
            <w:tcW w:type="dxa" w:w="2880"/>
            <w:vAlign w:val="center"/>
          </w:tcPr>
          <w:p>
            <w:pPr>
              <w:spacing w:after="0"/>
            </w:pPr>
            <w:r/>
            <w:r>
              <w:rPr>
                <w:b w:val="0"/>
              </w:rPr>
              <w:t>Clearance</w:t>
            </w:r>
          </w:p>
        </w:tc>
        <w:tc>
          <w:tcPr>
            <w:tcW w:type="dxa" w:w="7920"/>
            <w:vAlign w:val="center"/>
          </w:tcPr>
          <w:p>
            <w:pPr>
              <w:spacing w:after="0"/>
            </w:pPr>
            <w:r/>
            <w:r>
              <w:rPr>
                <w:b w:val="0"/>
              </w:rPr>
              <w:t>Sensitivity level assigned to a user and checked against resource classification.</w:t>
            </w:r>
          </w:p>
        </w:tc>
      </w:tr>
      <w:tr>
        <w:tc>
          <w:tcPr>
            <w:tcW w:type="dxa" w:w="2880"/>
            <w:vAlign w:val="center"/>
          </w:tcPr>
          <w:p>
            <w:pPr>
              <w:spacing w:after="0"/>
            </w:pPr>
            <w:r/>
            <w:r>
              <w:rPr>
                <w:b w:val="0"/>
              </w:rPr>
              <w:t>Scope</w:t>
            </w:r>
          </w:p>
        </w:tc>
        <w:tc>
          <w:tcPr>
            <w:tcW w:type="dxa" w:w="7920"/>
            <w:vAlign w:val="center"/>
          </w:tcPr>
          <w:p>
            <w:pPr>
              <w:spacing w:after="0"/>
            </w:pPr>
            <w:r/>
            <w:r>
              <w:rPr>
                <w:b w:val="0"/>
              </w:rPr>
              <w:t>Permission string such as assessment:read or question_version:read.</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Cybernara Internal Product Design &amp; Workflow Guide -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rmaidCode">
    <w:name w:val="Mermaid Code"/>
    <w:pPr>
      <w:spacing w:before="0" w:after="0"/>
    </w:pPr>
    <w:rPr>
      <w:rFonts w:ascii="Consolas" w:hAnsi="Consolas" w:eastAsia="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