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8"/>
        </w:rPr>
        <w:t>Elone_Agent Architecture &amp; Technical Specification</w:t>
      </w:r>
    </w:p>
    <w:p>
      <w:pPr>
        <w:spacing w:before="0" w:after="280"/>
      </w:pPr>
      <w:r>
        <w:rPr>
          <w:rFonts w:ascii="Segoe UI" w:hAnsi="Segoe UI"/>
          <w:color w:val="64748B"/>
          <w:sz w:val="22"/>
        </w:rPr>
        <w:t>Comprehensive End-to-End System Documentation &amp; Flowchart Guide | Multi-Agent L1 Support Automation</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SYSTEM OVERVIEW: </w:t>
            </w:r>
            <w:r>
              <w:rPr>
                <w:rFonts w:ascii="Segoe UI" w:hAnsi="Segoe UI"/>
                <w:color w:val="334155"/>
                <w:sz w:val="19"/>
              </w:rPr>
              <w:t>Elone_Agent is a deterministic multi-agent IT automation system engineered on top of LangGraph, FastAPI, and Open Knowledge Framework (OKF) disk-based stores. It features dynamic LLM provider fallback routing (Mistral Small, Gemini 2.5 Flash, Groq GPT-OSS), zero-network-overhead local subprocess execution, cross-SOP referral swapping, human-in-the-loop (HITL) approval gates, and multi-tier summarization resilience.</w:t>
            </w:r>
          </w:p>
        </w:tc>
      </w:tr>
    </w:tbl>
    <w:p>
      <w:pPr>
        <w:spacing w:after="80"/>
      </w:pPr>
    </w:p>
    <w:p>
      <w:pPr>
        <w:pStyle w:val="Heading1"/>
        <w:spacing w:before="280" w:after="120"/>
      </w:pPr>
      <w:r>
        <w:rPr>
          <w:rFonts w:ascii="Segoe UI" w:hAnsi="Segoe UI"/>
          <w:b/>
          <w:color w:val="0F172A"/>
          <w:sz w:val="36"/>
        </w:rPr>
        <w:t>1. High-Level System Architecture &amp; Execution Lifecycle</w:t>
      </w:r>
    </w:p>
    <w:p>
      <w:pPr>
        <w:spacing w:after="120"/>
      </w:pPr>
      <w:r>
        <w:t>The Elone_Agent ecosystem automates Level-1 (L1) helpdesk and IT support operations by ingesting standard operating procedures (SOPs), triaging user requests, dynamically binding execution parameters, running deterministic CLI commands and enterprise API tools, and generating comprehensive reports. The high-level lifecycle transitions through 8 distinct stages:</w:t>
      </w:r>
    </w:p>
    <w:p>
      <w:r>
        <w:drawing>
          <wp:inline xmlns:a="http://schemas.openxmlformats.org/drawingml/2006/main" xmlns:pic="http://schemas.openxmlformats.org/drawingml/2006/picture">
            <wp:extent cx="6217920" cy="15414809"/>
            <wp:docPr id="1" name="Picture 1"/>
            <wp:cNvGraphicFramePr>
              <a:graphicFrameLocks noChangeAspect="1"/>
            </wp:cNvGraphicFramePr>
            <a:graphic>
              <a:graphicData uri="http://schemas.openxmlformats.org/drawingml/2006/picture">
                <pic:pic>
                  <pic:nvPicPr>
                    <pic:cNvPr id="0" name="flowchart_high_level.png"/>
                    <pic:cNvPicPr/>
                  </pic:nvPicPr>
                  <pic:blipFill>
                    <a:blip r:embed="rId9"/>
                    <a:stretch>
                      <a:fillRect/>
                    </a:stretch>
                  </pic:blipFill>
                  <pic:spPr>
                    <a:xfrm>
                      <a:off x="0" y="0"/>
                      <a:ext cx="6217920" cy="15414809"/>
                    </a:xfrm>
                    <a:prstGeom prst="rect"/>
                  </pic:spPr>
                </pic:pic>
              </a:graphicData>
            </a:graphic>
          </wp:inline>
        </w:drawing>
      </w:r>
    </w:p>
    <w:p>
      <w:pPr>
        <w:spacing w:after="200"/>
        <w:jc w:val="center"/>
      </w:pPr>
      <w:r>
        <w:rPr>
          <w:i/>
          <w:sz w:val="17"/>
        </w:rPr>
        <w:t>Figure 1.1: End-to-End High-Level System Lifecycle &amp; Agent Coordination Flowchart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Stage</w:t>
            </w:r>
          </w:p>
        </w:tc>
        <w:tc>
          <w:tcPr>
            <w:tcW w:type="dxa" w:w="2520"/>
            <w:shd w:fill="1E293B"/>
            <w:tcMar>
              <w:top w:w="100" w:type="dxa"/>
              <w:bottom w:w="100" w:type="dxa"/>
              <w:left w:w="140" w:type="dxa"/>
              <w:right w:w="140" w:type="dxa"/>
            </w:tcMar>
          </w:tcPr>
          <w:p>
            <w:pPr>
              <w:jc w:val="left"/>
            </w:pPr>
            <w:r>
              <w:rPr>
                <w:rFonts w:ascii="Segoe UI" w:hAnsi="Segoe UI"/>
                <w:b/>
                <w:color w:val="FFFFFF"/>
                <w:sz w:val="19"/>
              </w:rPr>
              <w:t>Module / Agent</w:t>
            </w:r>
          </w:p>
        </w:tc>
        <w:tc>
          <w:tcPr>
            <w:tcW w:type="dxa" w:w="2520"/>
            <w:shd w:fill="1E293B"/>
            <w:tcMar>
              <w:top w:w="100" w:type="dxa"/>
              <w:bottom w:w="100" w:type="dxa"/>
              <w:left w:w="140" w:type="dxa"/>
              <w:right w:w="140" w:type="dxa"/>
            </w:tcMar>
          </w:tcPr>
          <w:p>
            <w:pPr>
              <w:jc w:val="left"/>
            </w:pPr>
            <w:r>
              <w:rPr>
                <w:rFonts w:ascii="Segoe UI" w:hAnsi="Segoe UI"/>
                <w:b/>
                <w:color w:val="FFFFFF"/>
                <w:sz w:val="19"/>
              </w:rPr>
              <w:t>Core Responsibility</w:t>
            </w:r>
          </w:p>
        </w:tc>
        <w:tc>
          <w:tcPr>
            <w:tcW w:type="dxa" w:w="2520"/>
            <w:shd w:fill="1E293B"/>
            <w:tcMar>
              <w:top w:w="100" w:type="dxa"/>
              <w:bottom w:w="100" w:type="dxa"/>
              <w:left w:w="140" w:type="dxa"/>
              <w:right w:w="140" w:type="dxa"/>
            </w:tcMar>
          </w:tcPr>
          <w:p>
            <w:pPr>
              <w:jc w:val="left"/>
            </w:pPr>
            <w:r>
              <w:rPr>
                <w:rFonts w:ascii="Segoe UI" w:hAnsi="Segoe UI"/>
                <w:b/>
                <w:color w:val="FFFFFF"/>
                <w:sz w:val="19"/>
              </w:rPr>
              <w:t>Primary Technologies</w:t>
            </w:r>
          </w:p>
        </w:tc>
      </w:tr>
      <w:tr>
        <w:tc>
          <w:tcPr>
            <w:tcW w:type="dxa" w:w="2520"/>
            <w:shd w:fill="F8FAFC"/>
            <w:tcMar>
              <w:top w:w="80" w:type="dxa"/>
              <w:bottom w:w="80" w:type="dxa"/>
              <w:left w:w="140" w:type="dxa"/>
              <w:right w:w="140" w:type="dxa"/>
            </w:tcMar>
          </w:tcPr>
          <w:p>
            <w:r>
              <w:rPr>
                <w:rFonts w:ascii="Segoe UI" w:hAnsi="Segoe UI"/>
                <w:color w:val="334155"/>
                <w:sz w:val="18"/>
              </w:rPr>
              <w:t>1. Ingestion</w:t>
            </w:r>
          </w:p>
        </w:tc>
        <w:tc>
          <w:tcPr>
            <w:tcW w:type="dxa" w:w="2520"/>
            <w:shd w:fill="F8FAFC"/>
            <w:tcMar>
              <w:top w:w="80" w:type="dxa"/>
              <w:bottom w:w="80" w:type="dxa"/>
              <w:left w:w="140" w:type="dxa"/>
              <w:right w:w="140" w:type="dxa"/>
            </w:tcMar>
          </w:tcPr>
          <w:p>
            <w:r>
              <w:rPr>
                <w:rFonts w:ascii="Segoe UI" w:hAnsi="Segoe UI"/>
                <w:color w:val="334155"/>
                <w:sz w:val="18"/>
              </w:rPr>
              <w:t>ingestion_pipe/scheduler.py</w:t>
            </w:r>
          </w:p>
        </w:tc>
        <w:tc>
          <w:tcPr>
            <w:tcW w:type="dxa" w:w="2520"/>
            <w:shd w:fill="F8FAFC"/>
            <w:tcMar>
              <w:top w:w="80" w:type="dxa"/>
              <w:bottom w:w="80" w:type="dxa"/>
              <w:left w:w="140" w:type="dxa"/>
              <w:right w:w="140" w:type="dxa"/>
            </w:tcMar>
          </w:tcPr>
          <w:p>
            <w:r>
              <w:rPr>
                <w:rFonts w:ascii="Segoe UI" w:hAnsi="Segoe UI"/>
                <w:color w:val="334155"/>
                <w:sz w:val="18"/>
              </w:rPr>
              <w:t>Continuous SOP conversion &amp; master catalog updating</w:t>
            </w:r>
          </w:p>
        </w:tc>
        <w:tc>
          <w:tcPr>
            <w:tcW w:type="dxa" w:w="2520"/>
            <w:shd w:fill="F8FAFC"/>
            <w:tcMar>
              <w:top w:w="80" w:type="dxa"/>
              <w:bottom w:w="80" w:type="dxa"/>
              <w:left w:w="140" w:type="dxa"/>
              <w:right w:w="140" w:type="dxa"/>
            </w:tcMar>
          </w:tcPr>
          <w:p>
            <w:r>
              <w:rPr>
                <w:rFonts w:ascii="Segoe UI" w:hAnsi="Segoe UI"/>
                <w:color w:val="334155"/>
                <w:sz w:val="18"/>
              </w:rPr>
              <w:t>SharePoint, PyMuPDF, OKF Engine</w:t>
            </w:r>
          </w:p>
        </w:tc>
      </w:tr>
      <w:tr>
        <w:tc>
          <w:tcPr>
            <w:tcW w:type="dxa" w:w="2520"/>
            <w:shd w:fill="FFFFFF"/>
            <w:tcMar>
              <w:top w:w="80" w:type="dxa"/>
              <w:bottom w:w="80" w:type="dxa"/>
              <w:left w:w="140" w:type="dxa"/>
              <w:right w:w="140" w:type="dxa"/>
            </w:tcMar>
          </w:tcPr>
          <w:p>
            <w:r>
              <w:rPr>
                <w:rFonts w:ascii="Segoe UI" w:hAnsi="Segoe UI"/>
                <w:color w:val="334155"/>
                <w:sz w:val="18"/>
              </w:rPr>
              <w:t>2. Ingress &amp; Stream</w:t>
            </w:r>
          </w:p>
        </w:tc>
        <w:tc>
          <w:tcPr>
            <w:tcW w:type="dxa" w:w="2520"/>
            <w:shd w:fill="FFFFFF"/>
            <w:tcMar>
              <w:top w:w="80" w:type="dxa"/>
              <w:bottom w:w="80" w:type="dxa"/>
              <w:left w:w="140" w:type="dxa"/>
              <w:right w:w="140" w:type="dxa"/>
            </w:tcMar>
          </w:tcPr>
          <w:p>
            <w:r>
              <w:rPr>
                <w:rFonts w:ascii="Segoe UI" w:hAnsi="Segoe UI"/>
                <w:color w:val="334155"/>
                <w:sz w:val="18"/>
              </w:rPr>
              <w:t>server.py &amp; frontend/</w:t>
            </w:r>
          </w:p>
        </w:tc>
        <w:tc>
          <w:tcPr>
            <w:tcW w:type="dxa" w:w="2520"/>
            <w:shd w:fill="FFFFFF"/>
            <w:tcMar>
              <w:top w:w="80" w:type="dxa"/>
              <w:bottom w:w="80" w:type="dxa"/>
              <w:left w:w="140" w:type="dxa"/>
              <w:right w:w="140" w:type="dxa"/>
            </w:tcMar>
          </w:tcPr>
          <w:p>
            <w:r>
              <w:rPr>
                <w:rFonts w:ascii="Segoe UI" w:hAnsi="Segoe UI"/>
                <w:color w:val="334155"/>
                <w:sz w:val="18"/>
              </w:rPr>
              <w:t>FastAPI REST API &amp; live SSE background streaming</w:t>
            </w:r>
          </w:p>
        </w:tc>
        <w:tc>
          <w:tcPr>
            <w:tcW w:type="dxa" w:w="2520"/>
            <w:shd w:fill="FFFFFF"/>
            <w:tcMar>
              <w:top w:w="80" w:type="dxa"/>
              <w:bottom w:w="80" w:type="dxa"/>
              <w:left w:w="140" w:type="dxa"/>
              <w:right w:w="140" w:type="dxa"/>
            </w:tcMar>
          </w:tcPr>
          <w:p>
            <w:r>
              <w:rPr>
                <w:rFonts w:ascii="Segoe UI" w:hAnsi="Segoe UI"/>
                <w:color w:val="334155"/>
                <w:sz w:val="18"/>
              </w:rPr>
              <w:t>FastAPI, Server-Sent Events, SPA UI</w:t>
            </w:r>
          </w:p>
        </w:tc>
      </w:tr>
      <w:tr>
        <w:tc>
          <w:tcPr>
            <w:tcW w:type="dxa" w:w="2520"/>
            <w:shd w:fill="F8FAFC"/>
            <w:tcMar>
              <w:top w:w="80" w:type="dxa"/>
              <w:bottom w:w="80" w:type="dxa"/>
              <w:left w:w="140" w:type="dxa"/>
              <w:right w:w="140" w:type="dxa"/>
            </w:tcMar>
          </w:tcPr>
          <w:p>
            <w:r>
              <w:rPr>
                <w:rFonts w:ascii="Segoe UI" w:hAnsi="Segoe UI"/>
                <w:color w:val="334155"/>
                <w:sz w:val="18"/>
              </w:rPr>
              <w:t>3. Intake &amp; Triage</w:t>
            </w:r>
          </w:p>
        </w:tc>
        <w:tc>
          <w:tcPr>
            <w:tcW w:type="dxa" w:w="2520"/>
            <w:shd w:fill="F8FAFC"/>
            <w:tcMar>
              <w:top w:w="80" w:type="dxa"/>
              <w:bottom w:w="80" w:type="dxa"/>
              <w:left w:w="140" w:type="dxa"/>
              <w:right w:w="140" w:type="dxa"/>
            </w:tcMar>
          </w:tcPr>
          <w:p>
            <w:r>
              <w:rPr>
                <w:rFonts w:ascii="Segoe UI" w:hAnsi="Segoe UI"/>
                <w:color w:val="334155"/>
                <w:sz w:val="18"/>
              </w:rPr>
              <w:t>agents/intake/</w:t>
            </w:r>
          </w:p>
        </w:tc>
        <w:tc>
          <w:tcPr>
            <w:tcW w:type="dxa" w:w="2520"/>
            <w:shd w:fill="F8FAFC"/>
            <w:tcMar>
              <w:top w:w="80" w:type="dxa"/>
              <w:bottom w:w="80" w:type="dxa"/>
              <w:left w:w="140" w:type="dxa"/>
              <w:right w:w="140" w:type="dxa"/>
            </w:tcMar>
          </w:tcPr>
          <w:p>
            <w:r>
              <w:rPr>
                <w:rFonts w:ascii="Segoe UI" w:hAnsi="Segoe UI"/>
                <w:color w:val="334155"/>
                <w:sz w:val="18"/>
              </w:rPr>
              <w:t>Asset credential lookup &amp; security policy check</w:t>
            </w:r>
          </w:p>
        </w:tc>
        <w:tc>
          <w:tcPr>
            <w:tcW w:type="dxa" w:w="2520"/>
            <w:shd w:fill="F8FAFC"/>
            <w:tcMar>
              <w:top w:w="80" w:type="dxa"/>
              <w:bottom w:w="80" w:type="dxa"/>
              <w:left w:w="140" w:type="dxa"/>
              <w:right w:w="140" w:type="dxa"/>
            </w:tcMar>
          </w:tcPr>
          <w:p>
            <w:r>
              <w:rPr>
                <w:rFonts w:ascii="Segoe UI" w:hAnsi="Segoe UI"/>
                <w:color w:val="334155"/>
                <w:sz w:val="18"/>
              </w:rPr>
              <w:t>Pandas/CSV, Mistral Small, Gemini</w:t>
            </w:r>
          </w:p>
        </w:tc>
      </w:tr>
      <w:tr>
        <w:tc>
          <w:tcPr>
            <w:tcW w:type="dxa" w:w="2520"/>
            <w:shd w:fill="FFFFFF"/>
            <w:tcMar>
              <w:top w:w="80" w:type="dxa"/>
              <w:bottom w:w="80" w:type="dxa"/>
              <w:left w:w="140" w:type="dxa"/>
              <w:right w:w="140" w:type="dxa"/>
            </w:tcMar>
          </w:tcPr>
          <w:p>
            <w:r>
              <w:rPr>
                <w:rFonts w:ascii="Segoe UI" w:hAnsi="Segoe UI"/>
                <w:color w:val="334155"/>
                <w:sz w:val="18"/>
              </w:rPr>
              <w:t>4. Planning &amp; CoT</w:t>
            </w:r>
          </w:p>
        </w:tc>
        <w:tc>
          <w:tcPr>
            <w:tcW w:type="dxa" w:w="2520"/>
            <w:shd w:fill="FFFFFF"/>
            <w:tcMar>
              <w:top w:w="80" w:type="dxa"/>
              <w:bottom w:w="80" w:type="dxa"/>
              <w:left w:w="140" w:type="dxa"/>
              <w:right w:w="140" w:type="dxa"/>
            </w:tcMar>
          </w:tcPr>
          <w:p>
            <w:r>
              <w:rPr>
                <w:rFonts w:ascii="Segoe UI" w:hAnsi="Segoe UI"/>
                <w:color w:val="334155"/>
                <w:sz w:val="18"/>
              </w:rPr>
              <w:t>agents/planner/</w:t>
            </w:r>
          </w:p>
        </w:tc>
        <w:tc>
          <w:tcPr>
            <w:tcW w:type="dxa" w:w="2520"/>
            <w:shd w:fill="FFFFFF"/>
            <w:tcMar>
              <w:top w:w="80" w:type="dxa"/>
              <w:bottom w:w="80" w:type="dxa"/>
              <w:left w:w="140" w:type="dxa"/>
              <w:right w:w="140" w:type="dxa"/>
            </w:tcMar>
          </w:tcPr>
          <w:p>
            <w:r>
              <w:rPr>
                <w:rFonts w:ascii="Segoe UI" w:hAnsi="Segoe UI"/>
                <w:color w:val="334155"/>
                <w:sz w:val="18"/>
              </w:rPr>
              <w:t>Progressive disclosure discovery, reflection lookup &amp; 6-Stage Deep CoT</w:t>
            </w:r>
          </w:p>
        </w:tc>
        <w:tc>
          <w:tcPr>
            <w:tcW w:type="dxa" w:w="2520"/>
            <w:shd w:fill="FFFFFF"/>
            <w:tcMar>
              <w:top w:w="80" w:type="dxa"/>
              <w:bottom w:w="80" w:type="dxa"/>
              <w:left w:w="140" w:type="dxa"/>
              <w:right w:w="140" w:type="dxa"/>
            </w:tcMar>
          </w:tcPr>
          <w:p>
            <w:r>
              <w:rPr>
                <w:rFonts w:ascii="Segoe UI" w:hAnsi="Segoe UI"/>
                <w:color w:val="334155"/>
                <w:sz w:val="18"/>
              </w:rPr>
              <w:t>OKF Knowledge Base, Jinja Binding</w:t>
            </w:r>
          </w:p>
        </w:tc>
      </w:tr>
      <w:tr>
        <w:tc>
          <w:tcPr>
            <w:tcW w:type="dxa" w:w="2520"/>
            <w:shd w:fill="F8FAFC"/>
            <w:tcMar>
              <w:top w:w="80" w:type="dxa"/>
              <w:bottom w:w="80" w:type="dxa"/>
              <w:left w:w="140" w:type="dxa"/>
              <w:right w:w="140" w:type="dxa"/>
            </w:tcMar>
          </w:tcPr>
          <w:p>
            <w:r>
              <w:rPr>
                <w:rFonts w:ascii="Segoe UI" w:hAnsi="Segoe UI"/>
                <w:color w:val="334155"/>
                <w:sz w:val="18"/>
              </w:rPr>
              <w:t>5. HITL Gate</w:t>
            </w:r>
          </w:p>
        </w:tc>
        <w:tc>
          <w:tcPr>
            <w:tcW w:type="dxa" w:w="2520"/>
            <w:shd w:fill="F8FAFC"/>
            <w:tcMar>
              <w:top w:w="80" w:type="dxa"/>
              <w:bottom w:w="80" w:type="dxa"/>
              <w:left w:w="140" w:type="dxa"/>
              <w:right w:w="140" w:type="dxa"/>
            </w:tcMar>
          </w:tcPr>
          <w:p>
            <w:r>
              <w:rPr>
                <w:rFonts w:ascii="Segoe UI" w:hAnsi="Segoe UI"/>
                <w:color w:val="334155"/>
                <w:sz w:val="18"/>
              </w:rPr>
              <w:t>graph.py &amp; server.py</w:t>
            </w:r>
          </w:p>
        </w:tc>
        <w:tc>
          <w:tcPr>
            <w:tcW w:type="dxa" w:w="2520"/>
            <w:shd w:fill="F8FAFC"/>
            <w:tcMar>
              <w:top w:w="80" w:type="dxa"/>
              <w:bottom w:w="80" w:type="dxa"/>
              <w:left w:w="140" w:type="dxa"/>
              <w:right w:w="140" w:type="dxa"/>
            </w:tcMar>
          </w:tcPr>
          <w:p>
            <w:r>
              <w:rPr>
                <w:rFonts w:ascii="Segoe UI" w:hAnsi="Segoe UI"/>
                <w:color w:val="334155"/>
                <w:sz w:val="18"/>
              </w:rPr>
              <w:t>Pre-execution operator review &amp; seamless auto-continue</w:t>
            </w:r>
          </w:p>
        </w:tc>
        <w:tc>
          <w:tcPr>
            <w:tcW w:type="dxa" w:w="2520"/>
            <w:shd w:fill="F8FAFC"/>
            <w:tcMar>
              <w:top w:w="80" w:type="dxa"/>
              <w:bottom w:w="80" w:type="dxa"/>
              <w:left w:w="140" w:type="dxa"/>
              <w:right w:w="140" w:type="dxa"/>
            </w:tcMar>
          </w:tcPr>
          <w:p>
            <w:r>
              <w:rPr>
                <w:rFonts w:ascii="Segoe UI" w:hAnsi="Segoe UI"/>
                <w:color w:val="334155"/>
                <w:sz w:val="18"/>
              </w:rPr>
              <w:t>LangGraph interrupt_before</w:t>
            </w:r>
          </w:p>
        </w:tc>
      </w:tr>
      <w:tr>
        <w:tc>
          <w:tcPr>
            <w:tcW w:type="dxa" w:w="2520"/>
            <w:shd w:fill="FFFFFF"/>
            <w:tcMar>
              <w:top w:w="80" w:type="dxa"/>
              <w:bottom w:w="80" w:type="dxa"/>
              <w:left w:w="140" w:type="dxa"/>
              <w:right w:w="140" w:type="dxa"/>
            </w:tcMar>
          </w:tcPr>
          <w:p>
            <w:r>
              <w:rPr>
                <w:rFonts w:ascii="Segoe UI" w:hAnsi="Segoe UI"/>
                <w:color w:val="334155"/>
                <w:sz w:val="18"/>
              </w:rPr>
              <w:t>6. Execution</w:t>
            </w:r>
          </w:p>
        </w:tc>
        <w:tc>
          <w:tcPr>
            <w:tcW w:type="dxa" w:w="2520"/>
            <w:shd w:fill="FFFFFF"/>
            <w:tcMar>
              <w:top w:w="80" w:type="dxa"/>
              <w:bottom w:w="80" w:type="dxa"/>
              <w:left w:w="140" w:type="dxa"/>
              <w:right w:w="140" w:type="dxa"/>
            </w:tcMar>
          </w:tcPr>
          <w:p>
            <w:r>
              <w:rPr>
                <w:rFonts w:ascii="Segoe UI" w:hAnsi="Segoe UI"/>
                <w:color w:val="334155"/>
                <w:sz w:val="18"/>
              </w:rPr>
              <w:t>agents/execution/</w:t>
            </w:r>
          </w:p>
        </w:tc>
        <w:tc>
          <w:tcPr>
            <w:tcW w:type="dxa" w:w="2520"/>
            <w:shd w:fill="FFFFFF"/>
            <w:tcMar>
              <w:top w:w="80" w:type="dxa"/>
              <w:bottom w:w="80" w:type="dxa"/>
              <w:left w:w="140" w:type="dxa"/>
              <w:right w:w="140" w:type="dxa"/>
            </w:tcMar>
          </w:tcPr>
          <w:p>
            <w:r>
              <w:rPr>
                <w:rFonts w:ascii="Segoe UI" w:hAnsi="Segoe UI"/>
                <w:color w:val="334155"/>
                <w:sz w:val="18"/>
              </w:rPr>
              <w:t>Local fast-path, Remote SSH/WinRM, &amp; API Tools</w:t>
            </w:r>
          </w:p>
        </w:tc>
        <w:tc>
          <w:tcPr>
            <w:tcW w:type="dxa" w:w="2520"/>
            <w:shd w:fill="FFFFFF"/>
            <w:tcMar>
              <w:top w:w="80" w:type="dxa"/>
              <w:bottom w:w="80" w:type="dxa"/>
              <w:left w:w="140" w:type="dxa"/>
              <w:right w:w="140" w:type="dxa"/>
            </w:tcMar>
          </w:tcPr>
          <w:p>
            <w:r>
              <w:rPr>
                <w:rFonts w:ascii="Segoe UI" w:hAnsi="Segoe UI"/>
                <w:color w:val="334155"/>
                <w:sz w:val="18"/>
              </w:rPr>
              <w:t>Subprocess, Paramiko, PyWinRM, Auth0/Okta</w:t>
            </w:r>
          </w:p>
        </w:tc>
      </w:tr>
      <w:tr>
        <w:tc>
          <w:tcPr>
            <w:tcW w:type="dxa" w:w="2520"/>
            <w:shd w:fill="F8FAFC"/>
            <w:tcMar>
              <w:top w:w="80" w:type="dxa"/>
              <w:bottom w:w="80" w:type="dxa"/>
              <w:left w:w="140" w:type="dxa"/>
              <w:right w:w="140" w:type="dxa"/>
            </w:tcMar>
          </w:tcPr>
          <w:p>
            <w:r>
              <w:rPr>
                <w:rFonts w:ascii="Segoe UI" w:hAnsi="Segoe UI"/>
                <w:color w:val="334155"/>
                <w:sz w:val="18"/>
              </w:rPr>
              <w:t>7. Result Verifier</w:t>
            </w:r>
          </w:p>
        </w:tc>
        <w:tc>
          <w:tcPr>
            <w:tcW w:type="dxa" w:w="2520"/>
            <w:shd w:fill="F8FAFC"/>
            <w:tcMar>
              <w:top w:w="80" w:type="dxa"/>
              <w:bottom w:w="80" w:type="dxa"/>
              <w:left w:w="140" w:type="dxa"/>
              <w:right w:w="140" w:type="dxa"/>
            </w:tcMar>
          </w:tcPr>
          <w:p>
            <w:r>
              <w:rPr>
                <w:rFonts w:ascii="Segoe UI" w:hAnsi="Segoe UI"/>
                <w:color w:val="334155"/>
                <w:sz w:val="18"/>
              </w:rPr>
              <w:t>agents/execution_result/</w:t>
            </w:r>
          </w:p>
        </w:tc>
        <w:tc>
          <w:tcPr>
            <w:tcW w:type="dxa" w:w="2520"/>
            <w:shd w:fill="F8FAFC"/>
            <w:tcMar>
              <w:top w:w="80" w:type="dxa"/>
              <w:bottom w:w="80" w:type="dxa"/>
              <w:left w:w="140" w:type="dxa"/>
              <w:right w:w="140" w:type="dxa"/>
            </w:tcMar>
          </w:tcPr>
          <w:p>
            <w:r>
              <w:rPr>
                <w:rFonts w:ascii="Segoe UI" w:hAnsi="Segoe UI"/>
                <w:color w:val="334155"/>
                <w:sz w:val="18"/>
              </w:rPr>
              <w:t>Fast JSON parsing, regex extraction &amp; variable binding</w:t>
            </w:r>
          </w:p>
        </w:tc>
        <w:tc>
          <w:tcPr>
            <w:tcW w:type="dxa" w:w="2520"/>
            <w:shd w:fill="F8FAFC"/>
            <w:tcMar>
              <w:top w:w="80" w:type="dxa"/>
              <w:bottom w:w="80" w:type="dxa"/>
              <w:left w:w="140" w:type="dxa"/>
              <w:right w:w="140" w:type="dxa"/>
            </w:tcMar>
          </w:tcPr>
          <w:p>
            <w:r>
              <w:rPr>
                <w:rFonts w:ascii="Segoe UI" w:hAnsi="Segoe UI"/>
                <w:color w:val="334155"/>
                <w:sz w:val="18"/>
              </w:rPr>
              <w:t>Regex, LLM Chain-of-Thought</w:t>
            </w:r>
          </w:p>
        </w:tc>
      </w:tr>
      <w:tr>
        <w:tc>
          <w:tcPr>
            <w:tcW w:type="dxa" w:w="2520"/>
            <w:shd w:fill="FFFFFF"/>
            <w:tcMar>
              <w:top w:w="80" w:type="dxa"/>
              <w:bottom w:w="80" w:type="dxa"/>
              <w:left w:w="140" w:type="dxa"/>
              <w:right w:w="140" w:type="dxa"/>
            </w:tcMar>
          </w:tcPr>
          <w:p>
            <w:r>
              <w:rPr>
                <w:rFonts w:ascii="Segoe UI" w:hAnsi="Segoe UI"/>
                <w:color w:val="334155"/>
                <w:sz w:val="18"/>
              </w:rPr>
              <w:t>8. Summarization</w:t>
            </w:r>
          </w:p>
        </w:tc>
        <w:tc>
          <w:tcPr>
            <w:tcW w:type="dxa" w:w="2520"/>
            <w:shd w:fill="FFFFFF"/>
            <w:tcMar>
              <w:top w:w="80" w:type="dxa"/>
              <w:bottom w:w="80" w:type="dxa"/>
              <w:left w:w="140" w:type="dxa"/>
              <w:right w:w="140" w:type="dxa"/>
            </w:tcMar>
          </w:tcPr>
          <w:p>
            <w:r>
              <w:rPr>
                <w:rFonts w:ascii="Segoe UI" w:hAnsi="Segoe UI"/>
                <w:color w:val="334155"/>
                <w:sz w:val="18"/>
              </w:rPr>
              <w:t>agents/summarization/</w:t>
            </w:r>
          </w:p>
        </w:tc>
        <w:tc>
          <w:tcPr>
            <w:tcW w:type="dxa" w:w="2520"/>
            <w:shd w:fill="FFFFFF"/>
            <w:tcMar>
              <w:top w:w="80" w:type="dxa"/>
              <w:bottom w:w="80" w:type="dxa"/>
              <w:left w:w="140" w:type="dxa"/>
              <w:right w:w="140" w:type="dxa"/>
            </w:tcMar>
          </w:tcPr>
          <w:p>
            <w:r>
              <w:rPr>
                <w:rFonts w:ascii="Segoe UI" w:hAnsi="Segoe UI"/>
                <w:color w:val="334155"/>
                <w:sz w:val="18"/>
              </w:rPr>
              <w:t>Customer resolution email &amp; engineering markdown log</w:t>
            </w:r>
          </w:p>
        </w:tc>
        <w:tc>
          <w:tcPr>
            <w:tcW w:type="dxa" w:w="2520"/>
            <w:shd w:fill="FFFFFF"/>
            <w:tcMar>
              <w:top w:w="80" w:type="dxa"/>
              <w:bottom w:w="80" w:type="dxa"/>
              <w:left w:w="140" w:type="dxa"/>
              <w:right w:w="140" w:type="dxa"/>
            </w:tcMar>
          </w:tcPr>
          <w:p>
            <w:r>
              <w:rPr>
                <w:rFonts w:ascii="Segoe UI" w:hAnsi="Segoe UI"/>
                <w:color w:val="334155"/>
                <w:sz w:val="18"/>
              </w:rPr>
              <w:t>Pydantic, Gemini Flash, Episodic Memory</w:t>
            </w:r>
          </w:p>
        </w:tc>
      </w:tr>
    </w:tbl>
    <w:p>
      <w:pPr>
        <w:spacing w:after="120"/>
      </w:pPr>
    </w:p>
    <w:p>
      <w:pPr>
        <w:pStyle w:val="Heading1"/>
        <w:spacing w:before="280" w:after="120"/>
      </w:pPr>
      <w:r>
        <w:rPr>
          <w:rFonts w:ascii="Segoe UI" w:hAnsi="Segoe UI"/>
          <w:b/>
          <w:color w:val="0F172A"/>
          <w:sz w:val="36"/>
        </w:rPr>
        <w:t>2. SOP Ingestion &amp; Knowledge Base Pipeline</w:t>
      </w:r>
    </w:p>
    <w:p>
      <w:r>
        <w:t>To eliminate manual playbook engineering, the ingestion engine monitors enterprise repositories (SharePoint / Shared Documents and local upload directories) for raw procedure documents (.docx, .pdf, .txt, .xlsx, .pptx). It automatically transforms raw procedures into standardized Open Knowledge Framework (OKF) playbooks and updates the master catalog index (knowledge_base/sops/index.md).</w:t>
      </w:r>
    </w:p>
    <w:p>
      <w:r>
        <w:drawing>
          <wp:inline xmlns:a="http://schemas.openxmlformats.org/drawingml/2006/main" xmlns:pic="http://schemas.openxmlformats.org/drawingml/2006/picture">
            <wp:extent cx="6217920" cy="1221229"/>
            <wp:docPr id="2" name="Picture 2"/>
            <wp:cNvGraphicFramePr>
              <a:graphicFrameLocks noChangeAspect="1"/>
            </wp:cNvGraphicFramePr>
            <a:graphic>
              <a:graphicData uri="http://schemas.openxmlformats.org/drawingml/2006/picture">
                <pic:pic>
                  <pic:nvPicPr>
                    <pic:cNvPr id="0" name="flowchart_ingestion.png"/>
                    <pic:cNvPicPr/>
                  </pic:nvPicPr>
                  <pic:blipFill>
                    <a:blip r:embed="rId10"/>
                    <a:stretch>
                      <a:fillRect/>
                    </a:stretch>
                  </pic:blipFill>
                  <pic:spPr>
                    <a:xfrm>
                      <a:off x="0" y="0"/>
                      <a:ext cx="6217920" cy="1221229"/>
                    </a:xfrm>
                    <a:prstGeom prst="rect"/>
                  </pic:spPr>
                </pic:pic>
              </a:graphicData>
            </a:graphic>
          </wp:inline>
        </w:drawing>
      </w:r>
    </w:p>
    <w:p>
      <w:pPr>
        <w:spacing w:after="200"/>
        <w:jc w:val="center"/>
      </w:pPr>
      <w:r>
        <w:rPr>
          <w:i/>
          <w:sz w:val="17"/>
        </w:rPr>
        <w:t>Figure 2.1: SOP Ingestion, Markdown Standardization &amp; Catalog Indexing Pipeline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OKF PLAYBOOK ARCHITECTURE: </w:t>
            </w:r>
            <w:r>
              <w:rPr>
                <w:rFonts w:ascii="Segoe UI" w:hAnsi="Segoe UI"/>
                <w:color w:val="334155"/>
                <w:sz w:val="19"/>
              </w:rPr>
              <w:t>OKF playbooks feature frontmatter metadata (sop_id, title, category, required_entities) and structured markdown steps containing executable shell commands, API tool calls, timeout specifications, execute_if preconditions, and output_parse_instructions.</w:t>
            </w:r>
          </w:p>
        </w:tc>
      </w:tr>
    </w:tbl>
    <w:p>
      <w:pPr>
        <w:spacing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OKF Field</w:t>
            </w:r>
          </w:p>
        </w:tc>
        <w:tc>
          <w:tcPr>
            <w:tcW w:type="dxa" w:w="2520"/>
            <w:shd w:fill="1E293B"/>
            <w:tcMar>
              <w:top w:w="100" w:type="dxa"/>
              <w:bottom w:w="100" w:type="dxa"/>
              <w:left w:w="140" w:type="dxa"/>
              <w:right w:w="140" w:type="dxa"/>
            </w:tcMar>
          </w:tcPr>
          <w:p>
            <w:pPr>
              <w:jc w:val="left"/>
            </w:pPr>
            <w:r>
              <w:rPr>
                <w:rFonts w:ascii="Segoe UI" w:hAnsi="Segoe UI"/>
                <w:b/>
                <w:color w:val="FFFFFF"/>
                <w:sz w:val="19"/>
              </w:rPr>
              <w:t>Type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Description</w:t>
            </w:r>
          </w:p>
        </w:tc>
        <w:tc>
          <w:tcPr>
            <w:tcW w:type="dxa" w:w="2520"/>
            <w:shd w:fill="1E293B"/>
            <w:tcMar>
              <w:top w:w="100" w:type="dxa"/>
              <w:bottom w:w="100" w:type="dxa"/>
              <w:left w:w="140" w:type="dxa"/>
              <w:right w:w="140" w:type="dxa"/>
            </w:tcMar>
          </w:tcPr>
          <w:p>
            <w:pPr>
              <w:jc w:val="left"/>
            </w:pPr>
            <w:r>
              <w:rPr>
                <w:rFonts w:ascii="Segoe UI" w:hAnsi="Segoe UI"/>
                <w:b/>
                <w:color w:val="FFFFFF"/>
                <w:sz w:val="19"/>
              </w:rPr>
              <w:t>Example Value</w:t>
            </w:r>
          </w:p>
        </w:tc>
      </w:tr>
      <w:tr>
        <w:tc>
          <w:tcPr>
            <w:tcW w:type="dxa" w:w="2520"/>
            <w:shd w:fill="F8FAFC"/>
            <w:tcMar>
              <w:top w:w="80" w:type="dxa"/>
              <w:bottom w:w="80" w:type="dxa"/>
              <w:left w:w="140" w:type="dxa"/>
              <w:right w:w="140" w:type="dxa"/>
            </w:tcMar>
          </w:tcPr>
          <w:p>
            <w:r>
              <w:rPr>
                <w:rFonts w:ascii="Segoe UI" w:hAnsi="Segoe UI"/>
                <w:color w:val="334155"/>
                <w:sz w:val="18"/>
              </w:rPr>
              <w:t>sop_id</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Unique deterministic SOP identifier</w:t>
            </w:r>
          </w:p>
        </w:tc>
        <w:tc>
          <w:tcPr>
            <w:tcW w:type="dxa" w:w="2520"/>
            <w:shd w:fill="F8FAFC"/>
            <w:tcMar>
              <w:top w:w="80" w:type="dxa"/>
              <w:bottom w:w="80" w:type="dxa"/>
              <w:left w:w="140" w:type="dxa"/>
              <w:right w:w="140" w:type="dxa"/>
            </w:tcMar>
          </w:tcPr>
          <w:p>
            <w:r>
              <w:rPr>
                <w:rFonts w:ascii="Segoe UI" w:hAnsi="Segoe UI"/>
                <w:color w:val="334155"/>
                <w:sz w:val="18"/>
              </w:rPr>
              <w:t>SOP-L1-APP-001</w:t>
            </w:r>
          </w:p>
        </w:tc>
      </w:tr>
      <w:tr>
        <w:tc>
          <w:tcPr>
            <w:tcW w:type="dxa" w:w="2520"/>
            <w:shd w:fill="FFFFFF"/>
            <w:tcMar>
              <w:top w:w="80" w:type="dxa"/>
              <w:bottom w:w="80" w:type="dxa"/>
              <w:left w:w="140" w:type="dxa"/>
              <w:right w:w="140" w:type="dxa"/>
            </w:tcMar>
          </w:tcPr>
          <w:p>
            <w:r>
              <w:rPr>
                <w:rFonts w:ascii="Segoe UI" w:hAnsi="Segoe UI"/>
                <w:color w:val="334155"/>
                <w:sz w:val="18"/>
              </w:rPr>
              <w:t>step_type</w:t>
            </w:r>
          </w:p>
        </w:tc>
        <w:tc>
          <w:tcPr>
            <w:tcW w:type="dxa" w:w="2520"/>
            <w:shd w:fill="FFFFFF"/>
            <w:tcMar>
              <w:top w:w="80" w:type="dxa"/>
              <w:bottom w:w="80" w:type="dxa"/>
              <w:left w:w="140" w:type="dxa"/>
              <w:right w:w="140" w:type="dxa"/>
            </w:tcMar>
          </w:tcPr>
          <w:p>
            <w:r>
              <w:rPr>
                <w:rFonts w:ascii="Segoe UI" w:hAnsi="Segoe UI"/>
                <w:color w:val="334155"/>
                <w:sz w:val="18"/>
              </w:rPr>
              <w:t>Enum</w:t>
            </w:r>
          </w:p>
        </w:tc>
        <w:tc>
          <w:tcPr>
            <w:tcW w:type="dxa" w:w="2520"/>
            <w:shd w:fill="FFFFFF"/>
            <w:tcMar>
              <w:top w:w="80" w:type="dxa"/>
              <w:bottom w:w="80" w:type="dxa"/>
              <w:left w:w="140" w:type="dxa"/>
              <w:right w:w="140" w:type="dxa"/>
            </w:tcMar>
          </w:tcPr>
          <w:p>
            <w:r>
              <w:rPr>
                <w:rFonts w:ascii="Segoe UI" w:hAnsi="Segoe UI"/>
                <w:color w:val="334155"/>
                <w:sz w:val="18"/>
              </w:rPr>
              <w:t>Execution protocol: command, tool_call, communication</w:t>
            </w:r>
          </w:p>
        </w:tc>
        <w:tc>
          <w:tcPr>
            <w:tcW w:type="dxa" w:w="2520"/>
            <w:shd w:fill="FFFFFF"/>
            <w:tcMar>
              <w:top w:w="80" w:type="dxa"/>
              <w:bottom w:w="80" w:type="dxa"/>
              <w:left w:w="140" w:type="dxa"/>
              <w:right w:w="140" w:type="dxa"/>
            </w:tcMar>
          </w:tcPr>
          <w:p>
            <w:r>
              <w:rPr>
                <w:rFonts w:ascii="Segoe UI" w:hAnsi="Segoe UI"/>
                <w:color w:val="334155"/>
                <w:sz w:val="18"/>
              </w:rPr>
              <w:t>command</w:t>
            </w:r>
          </w:p>
        </w:tc>
      </w:tr>
      <w:tr>
        <w:tc>
          <w:tcPr>
            <w:tcW w:type="dxa" w:w="2520"/>
            <w:shd w:fill="F8FAFC"/>
            <w:tcMar>
              <w:top w:w="80" w:type="dxa"/>
              <w:bottom w:w="80" w:type="dxa"/>
              <w:left w:w="140" w:type="dxa"/>
              <w:right w:w="140" w:type="dxa"/>
            </w:tcMar>
          </w:tcPr>
          <w:p>
            <w:r>
              <w:rPr>
                <w:rFonts w:ascii="Segoe UI" w:hAnsi="Segoe UI"/>
                <w:color w:val="334155"/>
                <w:sz w:val="18"/>
              </w:rPr>
              <w:t>command</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Deterministic shell command with Jinja placeholders</w:t>
            </w:r>
          </w:p>
        </w:tc>
        <w:tc>
          <w:tcPr>
            <w:tcW w:type="dxa" w:w="2520"/>
            <w:shd w:fill="F8FAFC"/>
            <w:tcMar>
              <w:top w:w="80" w:type="dxa"/>
              <w:bottom w:w="80" w:type="dxa"/>
              <w:left w:w="140" w:type="dxa"/>
              <w:right w:w="140" w:type="dxa"/>
            </w:tcMar>
          </w:tcPr>
          <w:p>
            <w:r>
              <w:rPr>
                <w:rFonts w:ascii="Segoe UI" w:hAnsi="Segoe UI"/>
                <w:color w:val="334155"/>
                <w:sz w:val="18"/>
              </w:rPr>
              <w:t>tasklist | findstr /I {executable}</w:t>
            </w:r>
          </w:p>
        </w:tc>
      </w:tr>
      <w:tr>
        <w:tc>
          <w:tcPr>
            <w:tcW w:type="dxa" w:w="2520"/>
            <w:shd w:fill="FFFFFF"/>
            <w:tcMar>
              <w:top w:w="80" w:type="dxa"/>
              <w:bottom w:w="80" w:type="dxa"/>
              <w:left w:w="140" w:type="dxa"/>
              <w:right w:w="140" w:type="dxa"/>
            </w:tcMar>
          </w:tcPr>
          <w:p>
            <w:r>
              <w:rPr>
                <w:rFonts w:ascii="Segoe UI" w:hAnsi="Segoe UI"/>
                <w:color w:val="334155"/>
                <w:sz w:val="18"/>
              </w:rPr>
              <w:t>execute_if</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Dynamic runtime precondition evaluated before execution</w:t>
            </w:r>
          </w:p>
        </w:tc>
        <w:tc>
          <w:tcPr>
            <w:tcW w:type="dxa" w:w="2520"/>
            <w:shd w:fill="FFFFFF"/>
            <w:tcMar>
              <w:top w:w="80" w:type="dxa"/>
              <w:bottom w:w="80" w:type="dxa"/>
              <w:left w:w="140" w:type="dxa"/>
              <w:right w:w="140" w:type="dxa"/>
            </w:tcMar>
          </w:tcPr>
          <w:p>
            <w:r>
              <w:rPr>
                <w:rFonts w:ascii="Segoe UI" w:hAnsi="Segoe UI"/>
                <w:color w:val="334155"/>
                <w:sz w:val="18"/>
              </w:rPr>
              <w:t>variables.app_running == true</w:t>
            </w:r>
          </w:p>
        </w:tc>
      </w:tr>
      <w:tr>
        <w:tc>
          <w:tcPr>
            <w:tcW w:type="dxa" w:w="2520"/>
            <w:shd w:fill="F8FAFC"/>
            <w:tcMar>
              <w:top w:w="80" w:type="dxa"/>
              <w:bottom w:w="80" w:type="dxa"/>
              <w:left w:w="140" w:type="dxa"/>
              <w:right w:w="140" w:type="dxa"/>
            </w:tcMar>
          </w:tcPr>
          <w:p>
            <w:r>
              <w:rPr>
                <w:rFonts w:ascii="Segoe UI" w:hAnsi="Segoe UI"/>
                <w:color w:val="334155"/>
                <w:sz w:val="18"/>
              </w:rPr>
              <w:t>parse_instruction</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Rule governing variable extraction &amp; success verdict</w:t>
            </w:r>
          </w:p>
        </w:tc>
        <w:tc>
          <w:tcPr>
            <w:tcW w:type="dxa" w:w="2520"/>
            <w:shd w:fill="F8FAFC"/>
            <w:tcMar>
              <w:top w:w="80" w:type="dxa"/>
              <w:bottom w:w="80" w:type="dxa"/>
              <w:left w:w="140" w:type="dxa"/>
              <w:right w:w="140" w:type="dxa"/>
            </w:tcMar>
          </w:tcPr>
          <w:p>
            <w:r>
              <w:rPr>
                <w:rFonts w:ascii="Segoe UI" w:hAnsi="Segoe UI"/>
                <w:color w:val="334155"/>
                <w:sz w:val="18"/>
              </w:rPr>
              <w:t>If stdout contains 'Code.exe', set variables.app_running = true</w:t>
            </w:r>
          </w:p>
        </w:tc>
      </w:tr>
    </w:tbl>
    <w:p>
      <w:pPr>
        <w:spacing w:after="120"/>
      </w:pPr>
    </w:p>
    <w:p>
      <w:pPr>
        <w:pStyle w:val="Heading1"/>
        <w:spacing w:before="280" w:after="120"/>
      </w:pPr>
      <w:r>
        <w:rPr>
          <w:rFonts w:ascii="Segoe UI" w:hAnsi="Segoe UI"/>
          <w:b/>
          <w:color w:val="0F172A"/>
          <w:sz w:val="36"/>
        </w:rPr>
        <w:t>3. FastAPI Server &amp; Event Streaming Engine</w:t>
      </w:r>
    </w:p>
    <w:p>
      <w:r>
        <w:t>The application layer exposes a modern asynchronous REST API powered by FastAPI and a real-time web console. Execution runs within isolated background worker threads (Run instances), decoupling graph processing from HTTP request handlers.</w:t>
      </w:r>
    </w:p>
    <w:p>
      <w:r>
        <w:drawing>
          <wp:inline xmlns:a="http://schemas.openxmlformats.org/drawingml/2006/main" xmlns:pic="http://schemas.openxmlformats.org/drawingml/2006/picture">
            <wp:extent cx="6217920" cy="5745987"/>
            <wp:docPr id="3" name="Picture 3"/>
            <wp:cNvGraphicFramePr>
              <a:graphicFrameLocks noChangeAspect="1"/>
            </wp:cNvGraphicFramePr>
            <a:graphic>
              <a:graphicData uri="http://schemas.openxmlformats.org/drawingml/2006/picture">
                <pic:pic>
                  <pic:nvPicPr>
                    <pic:cNvPr id="0" name="flowchart_server_streaming.png"/>
                    <pic:cNvPicPr/>
                  </pic:nvPicPr>
                  <pic:blipFill>
                    <a:blip r:embed="rId11"/>
                    <a:stretch>
                      <a:fillRect/>
                    </a:stretch>
                  </pic:blipFill>
                  <pic:spPr>
                    <a:xfrm>
                      <a:off x="0" y="0"/>
                      <a:ext cx="6217920" cy="5745987"/>
                    </a:xfrm>
                    <a:prstGeom prst="rect"/>
                  </pic:spPr>
                </pic:pic>
              </a:graphicData>
            </a:graphic>
          </wp:inline>
        </w:drawing>
      </w:r>
    </w:p>
    <w:p>
      <w:pPr>
        <w:spacing w:after="200"/>
        <w:jc w:val="center"/>
      </w:pPr>
      <w:r>
        <w:rPr>
          <w:i/>
          <w:sz w:val="17"/>
        </w:rPr>
        <w:t>Figure 3.1: FastAPI Background Thread Run Registry &amp; SSE Event Streaming</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Endpoint</w:t>
            </w:r>
          </w:p>
        </w:tc>
        <w:tc>
          <w:tcPr>
            <w:tcW w:type="dxa" w:w="2520"/>
            <w:shd w:fill="1E293B"/>
            <w:tcMar>
              <w:top w:w="100" w:type="dxa"/>
              <w:bottom w:w="100" w:type="dxa"/>
              <w:left w:w="140" w:type="dxa"/>
              <w:right w:w="140" w:type="dxa"/>
            </w:tcMar>
          </w:tcPr>
          <w:p>
            <w:pPr>
              <w:jc w:val="left"/>
            </w:pPr>
            <w:r>
              <w:rPr>
                <w:rFonts w:ascii="Segoe UI" w:hAnsi="Segoe UI"/>
                <w:b/>
                <w:color w:val="FFFFFF"/>
                <w:sz w:val="19"/>
              </w:rPr>
              <w:t>Method</w:t>
            </w:r>
          </w:p>
        </w:tc>
        <w:tc>
          <w:tcPr>
            <w:tcW w:type="dxa" w:w="2520"/>
            <w:shd w:fill="1E293B"/>
            <w:tcMar>
              <w:top w:w="100" w:type="dxa"/>
              <w:bottom w:w="100" w:type="dxa"/>
              <w:left w:w="140" w:type="dxa"/>
              <w:right w:w="140" w:type="dxa"/>
            </w:tcMar>
          </w:tcPr>
          <w:p>
            <w:pPr>
              <w:jc w:val="left"/>
            </w:pPr>
            <w:r>
              <w:rPr>
                <w:rFonts w:ascii="Segoe UI" w:hAnsi="Segoe UI"/>
                <w:b/>
                <w:color w:val="FFFFFF"/>
                <w:sz w:val="19"/>
              </w:rPr>
              <w:t>Purpose</w:t>
            </w:r>
          </w:p>
        </w:tc>
        <w:tc>
          <w:tcPr>
            <w:tcW w:type="dxa" w:w="2520"/>
            <w:shd w:fill="1E293B"/>
            <w:tcMar>
              <w:top w:w="100" w:type="dxa"/>
              <w:bottom w:w="100" w:type="dxa"/>
              <w:left w:w="140" w:type="dxa"/>
              <w:right w:w="140" w:type="dxa"/>
            </w:tcMar>
          </w:tcPr>
          <w:p>
            <w:pPr>
              <w:jc w:val="left"/>
            </w:pPr>
            <w:r>
              <w:rPr>
                <w:rFonts w:ascii="Segoe UI" w:hAnsi="Segoe UI"/>
                <w:b/>
                <w:color w:val="FFFFFF"/>
                <w:sz w:val="19"/>
              </w:rPr>
              <w:t>Response Schema</w:t>
            </w:r>
          </w:p>
        </w:tc>
      </w:tr>
      <w:tr>
        <w:tc>
          <w:tcPr>
            <w:tcW w:type="dxa" w:w="2520"/>
            <w:shd w:fill="F8FAFC"/>
            <w:tcMar>
              <w:top w:w="80" w:type="dxa"/>
              <w:bottom w:w="80" w:type="dxa"/>
              <w:left w:w="140" w:type="dxa"/>
              <w:right w:w="140" w:type="dxa"/>
            </w:tcMar>
          </w:tcPr>
          <w:p>
            <w:r>
              <w:rPr>
                <w:rFonts w:ascii="Segoe UI" w:hAnsi="Segoe UI"/>
                <w:color w:val="334155"/>
                <w:sz w:val="18"/>
              </w:rPr>
              <w:t>/api/tickets</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Submit ticket and launch async graph execution thread</w:t>
            </w:r>
          </w:p>
        </w:tc>
        <w:tc>
          <w:tcPr>
            <w:tcW w:type="dxa" w:w="2520"/>
            <w:shd w:fill="F8FAFC"/>
            <w:tcMar>
              <w:top w:w="80" w:type="dxa"/>
              <w:bottom w:w="80" w:type="dxa"/>
              <w:left w:w="140" w:type="dxa"/>
              <w:right w:w="140" w:type="dxa"/>
            </w:tcMar>
          </w:tcPr>
          <w:p>
            <w:r>
              <w:rPr>
                <w:rFonts w:ascii="Segoe UI" w:hAnsi="Segoe UI"/>
                <w:color w:val="334155"/>
                <w:sz w:val="18"/>
              </w:rPr>
              <w:t>{"thread_id": "AGT-xxx", "done": false}</w:t>
            </w:r>
          </w:p>
        </w:tc>
      </w:tr>
      <w:tr>
        <w:tc>
          <w:tcPr>
            <w:tcW w:type="dxa" w:w="2520"/>
            <w:shd w:fill="FFFFFF"/>
            <w:tcMar>
              <w:top w:w="80" w:type="dxa"/>
              <w:bottom w:w="80" w:type="dxa"/>
              <w:left w:w="140" w:type="dxa"/>
              <w:right w:w="140" w:type="dxa"/>
            </w:tcMar>
          </w:tcPr>
          <w:p>
            <w:r>
              <w:rPr>
                <w:rFonts w:ascii="Segoe UI" w:hAnsi="Segoe UI"/>
                <w:color w:val="334155"/>
                <w:sz w:val="18"/>
              </w:rPr>
              <w:t>/api/tickets/{id}/stream</w:t>
            </w:r>
          </w:p>
        </w:tc>
        <w:tc>
          <w:tcPr>
            <w:tcW w:type="dxa" w:w="2520"/>
            <w:shd w:fill="FFFFFF"/>
            <w:tcMar>
              <w:top w:w="80" w:type="dxa"/>
              <w:bottom w:w="80" w:type="dxa"/>
              <w:left w:w="140" w:type="dxa"/>
              <w:right w:w="140" w:type="dxa"/>
            </w:tcMar>
          </w:tcPr>
          <w:p>
            <w:r>
              <w:rPr>
                <w:rFonts w:ascii="Segoe UI" w:hAnsi="Segoe UI"/>
                <w:color w:val="334155"/>
                <w:sz w:val="18"/>
              </w:rPr>
              <w:t>GET</w:t>
            </w:r>
          </w:p>
        </w:tc>
        <w:tc>
          <w:tcPr>
            <w:tcW w:type="dxa" w:w="2520"/>
            <w:shd w:fill="FFFFFF"/>
            <w:tcMar>
              <w:top w:w="80" w:type="dxa"/>
              <w:bottom w:w="80" w:type="dxa"/>
              <w:left w:w="140" w:type="dxa"/>
              <w:right w:w="140" w:type="dxa"/>
            </w:tcMar>
          </w:tcPr>
          <w:p>
            <w:r>
              <w:rPr>
                <w:rFonts w:ascii="Segoe UI" w:hAnsi="Segoe UI"/>
                <w:color w:val="334155"/>
                <w:sz w:val="18"/>
              </w:rPr>
              <w:t>Real-time Server-Sent Events (SSE) telemetry stream</w:t>
            </w:r>
          </w:p>
        </w:tc>
        <w:tc>
          <w:tcPr>
            <w:tcW w:type="dxa" w:w="2520"/>
            <w:shd w:fill="FFFFFF"/>
            <w:tcMar>
              <w:top w:w="80" w:type="dxa"/>
              <w:bottom w:w="80" w:type="dxa"/>
              <w:left w:w="140" w:type="dxa"/>
              <w:right w:w="140" w:type="dxa"/>
            </w:tcMar>
          </w:tcPr>
          <w:p>
            <w:r>
              <w:rPr>
                <w:rFonts w:ascii="Segoe UI" w:hAnsi="Segoe UI"/>
                <w:color w:val="334155"/>
                <w:sz w:val="18"/>
              </w:rPr>
              <w:t>Event stream (node_start, node, paused, done)</w:t>
            </w:r>
          </w:p>
        </w:tc>
      </w:tr>
      <w:tr>
        <w:tc>
          <w:tcPr>
            <w:tcW w:type="dxa" w:w="2520"/>
            <w:shd w:fill="F8FAFC"/>
            <w:tcMar>
              <w:top w:w="80" w:type="dxa"/>
              <w:bottom w:w="80" w:type="dxa"/>
              <w:left w:w="140" w:type="dxa"/>
              <w:right w:w="140" w:type="dxa"/>
            </w:tcMar>
          </w:tcPr>
          <w:p>
            <w:r>
              <w:rPr>
                <w:rFonts w:ascii="Segoe UI" w:hAnsi="Segoe UI"/>
                <w:color w:val="334155"/>
                <w:sz w:val="18"/>
              </w:rPr>
              <w:t>/api/tickets/{id}/approve</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Human operator approval of synthesized execution plan</w:t>
            </w:r>
          </w:p>
        </w:tc>
        <w:tc>
          <w:tcPr>
            <w:tcW w:type="dxa" w:w="2520"/>
            <w:shd w:fill="F8FAFC"/>
            <w:tcMar>
              <w:top w:w="80" w:type="dxa"/>
              <w:bottom w:w="80" w:type="dxa"/>
              <w:left w:w="140" w:type="dxa"/>
              <w:right w:w="140" w:type="dxa"/>
            </w:tcMar>
          </w:tcPr>
          <w:p>
            <w:r>
              <w:rPr>
                <w:rFonts w:ascii="Segoe UI" w:hAnsi="Segoe UI"/>
                <w:color w:val="334155"/>
                <w:sz w:val="18"/>
              </w:rPr>
              <w:t>{"is_human_approved": true, "thread_id": ...}</w:t>
            </w:r>
          </w:p>
        </w:tc>
      </w:tr>
      <w:tr>
        <w:tc>
          <w:tcPr>
            <w:tcW w:type="dxa" w:w="2520"/>
            <w:shd w:fill="FFFFFF"/>
            <w:tcMar>
              <w:top w:w="80" w:type="dxa"/>
              <w:bottom w:w="80" w:type="dxa"/>
              <w:left w:w="140" w:type="dxa"/>
              <w:right w:w="140" w:type="dxa"/>
            </w:tcMar>
          </w:tcPr>
          <w:p>
            <w:r>
              <w:rPr>
                <w:rFonts w:ascii="Segoe UI" w:hAnsi="Segoe UI"/>
                <w:color w:val="334155"/>
                <w:sz w:val="18"/>
              </w:rPr>
              <w:t>/api/tickets/{id}/reject</w:t>
            </w:r>
          </w:p>
        </w:tc>
        <w:tc>
          <w:tcPr>
            <w:tcW w:type="dxa" w:w="2520"/>
            <w:shd w:fill="FFFFFF"/>
            <w:tcMar>
              <w:top w:w="80" w:type="dxa"/>
              <w:bottom w:w="80" w:type="dxa"/>
              <w:left w:w="140" w:type="dxa"/>
              <w:right w:w="140" w:type="dxa"/>
            </w:tcMar>
          </w:tcPr>
          <w:p>
            <w:r>
              <w:rPr>
                <w:rFonts w:ascii="Segoe UI" w:hAnsi="Segoe UI"/>
                <w:color w:val="334155"/>
                <w:sz w:val="18"/>
              </w:rPr>
              <w:t>POST</w:t>
            </w:r>
          </w:p>
        </w:tc>
        <w:tc>
          <w:tcPr>
            <w:tcW w:type="dxa" w:w="2520"/>
            <w:shd w:fill="FFFFFF"/>
            <w:tcMar>
              <w:top w:w="80" w:type="dxa"/>
              <w:bottom w:w="80" w:type="dxa"/>
              <w:left w:w="140" w:type="dxa"/>
              <w:right w:w="140" w:type="dxa"/>
            </w:tcMar>
          </w:tcPr>
          <w:p>
            <w:r>
              <w:rPr>
                <w:rFonts w:ascii="Segoe UI" w:hAnsi="Segoe UI"/>
                <w:color w:val="334155"/>
                <w:sz w:val="18"/>
              </w:rPr>
              <w:t>Human operator rejection with escalation reason</w:t>
            </w:r>
          </w:p>
        </w:tc>
        <w:tc>
          <w:tcPr>
            <w:tcW w:type="dxa" w:w="2520"/>
            <w:shd w:fill="FFFFFF"/>
            <w:tcMar>
              <w:top w:w="80" w:type="dxa"/>
              <w:bottom w:w="80" w:type="dxa"/>
              <w:left w:w="140" w:type="dxa"/>
              <w:right w:w="140" w:type="dxa"/>
            </w:tcMar>
          </w:tcPr>
          <w:p>
            <w:r>
              <w:rPr>
                <w:rFonts w:ascii="Segoe UI" w:hAnsi="Segoe UI"/>
                <w:color w:val="334155"/>
                <w:sz w:val="18"/>
              </w:rPr>
              <w:t>{"workflow_status": "escalated", ...}</w:t>
            </w:r>
          </w:p>
        </w:tc>
      </w:tr>
      <w:tr>
        <w:tc>
          <w:tcPr>
            <w:tcW w:type="dxa" w:w="2520"/>
            <w:shd w:fill="F8FAFC"/>
            <w:tcMar>
              <w:top w:w="80" w:type="dxa"/>
              <w:bottom w:w="80" w:type="dxa"/>
              <w:left w:w="140" w:type="dxa"/>
              <w:right w:w="140" w:type="dxa"/>
            </w:tcMar>
          </w:tcPr>
          <w:p>
            <w:r>
              <w:rPr>
                <w:rFonts w:ascii="Segoe UI" w:hAnsi="Segoe UI"/>
                <w:color w:val="334155"/>
                <w:sz w:val="18"/>
              </w:rPr>
              <w:t>/api/tickets/{id}/clarify</w:t>
            </w:r>
          </w:p>
        </w:tc>
        <w:tc>
          <w:tcPr>
            <w:tcW w:type="dxa" w:w="2520"/>
            <w:shd w:fill="F8FAFC"/>
            <w:tcMar>
              <w:top w:w="80" w:type="dxa"/>
              <w:bottom w:w="80" w:type="dxa"/>
              <w:left w:w="140" w:type="dxa"/>
              <w:right w:w="140" w:type="dxa"/>
            </w:tcMar>
          </w:tcPr>
          <w:p>
            <w:r>
              <w:rPr>
                <w:rFonts w:ascii="Segoe UI" w:hAnsi="Segoe UI"/>
                <w:color w:val="334155"/>
                <w:sz w:val="18"/>
              </w:rPr>
              <w:t>POST</w:t>
            </w:r>
          </w:p>
        </w:tc>
        <w:tc>
          <w:tcPr>
            <w:tcW w:type="dxa" w:w="2520"/>
            <w:shd w:fill="F8FAFC"/>
            <w:tcMar>
              <w:top w:w="80" w:type="dxa"/>
              <w:bottom w:w="80" w:type="dxa"/>
              <w:left w:w="140" w:type="dxa"/>
              <w:right w:w="140" w:type="dxa"/>
            </w:tcMar>
          </w:tcPr>
          <w:p>
            <w:r>
              <w:rPr>
                <w:rFonts w:ascii="Segoe UI" w:hAnsi="Segoe UI"/>
                <w:color w:val="334155"/>
                <w:sz w:val="18"/>
              </w:rPr>
              <w:t>Submit clarification answers for ambiguous tickets</w:t>
            </w:r>
          </w:p>
        </w:tc>
        <w:tc>
          <w:tcPr>
            <w:tcW w:type="dxa" w:w="2520"/>
            <w:shd w:fill="F8FAFC"/>
            <w:tcMar>
              <w:top w:w="80" w:type="dxa"/>
              <w:bottom w:w="80" w:type="dxa"/>
              <w:left w:w="140" w:type="dxa"/>
              <w:right w:w="140" w:type="dxa"/>
            </w:tcMar>
          </w:tcPr>
          <w:p>
            <w:r>
              <w:rPr>
                <w:rFonts w:ascii="Segoe UI" w:hAnsi="Segoe UI"/>
                <w:color w:val="334155"/>
                <w:sz w:val="18"/>
              </w:rPr>
              <w:t>{"user_response": "...", "workflow_status": ...}</w:t>
            </w:r>
          </w:p>
        </w:tc>
      </w:tr>
    </w:tbl>
    <w:p>
      <w:pPr>
        <w:spacing w:after="120"/>
      </w:pPr>
    </w:p>
    <w:p>
      <w:pPr>
        <w:pStyle w:val="Heading1"/>
        <w:spacing w:before="280" w:after="120"/>
      </w:pPr>
      <w:r>
        <w:rPr>
          <w:rFonts w:ascii="Segoe UI" w:hAnsi="Segoe UI"/>
          <w:b/>
          <w:color w:val="0F172A"/>
          <w:sz w:val="36"/>
        </w:rPr>
        <w:t>4. Intake &amp; Triage Agent Node</w:t>
      </w:r>
    </w:p>
    <w:p>
      <w:r>
        <w:t>The Intake Agent (agents/intake/node.py) serves as the security and classification gatekeeper for the system. Upon receiving raw ticket input, it cross-references identity records in Asset Management - Sheet1.csv, validates software against Allowed_Applications.csv, and performs catalog matching against sops/index.md.</w:t>
      </w:r>
    </w:p>
    <w:p>
      <w:r>
        <w:drawing>
          <wp:inline xmlns:a="http://schemas.openxmlformats.org/drawingml/2006/main" xmlns:pic="http://schemas.openxmlformats.org/drawingml/2006/picture">
            <wp:extent cx="6217920" cy="10370576"/>
            <wp:docPr id="4" name="Picture 4"/>
            <wp:cNvGraphicFramePr>
              <a:graphicFrameLocks noChangeAspect="1"/>
            </wp:cNvGraphicFramePr>
            <a:graphic>
              <a:graphicData uri="http://schemas.openxmlformats.org/drawingml/2006/picture">
                <pic:pic>
                  <pic:nvPicPr>
                    <pic:cNvPr id="0" name="flowchart_intake.png"/>
                    <pic:cNvPicPr/>
                  </pic:nvPicPr>
                  <pic:blipFill>
                    <a:blip r:embed="rId12"/>
                    <a:stretch>
                      <a:fillRect/>
                    </a:stretch>
                  </pic:blipFill>
                  <pic:spPr>
                    <a:xfrm>
                      <a:off x="0" y="0"/>
                      <a:ext cx="6217920" cy="10370576"/>
                    </a:xfrm>
                    <a:prstGeom prst="rect"/>
                  </pic:spPr>
                </pic:pic>
              </a:graphicData>
            </a:graphic>
          </wp:inline>
        </w:drawing>
      </w:r>
    </w:p>
    <w:p>
      <w:pPr>
        <w:spacing w:after="200"/>
        <w:jc w:val="center"/>
      </w:pPr>
      <w:r>
        <w:rPr>
          <w:i/>
          <w:sz w:val="17"/>
        </w:rPr>
        <w:t>Figure 4.1: Intake Asset Lookup, Policy Enforcement &amp; LLM Triage Decision Tree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POLICY COMPLIANCE GATE: </w:t>
            </w:r>
            <w:r>
              <w:rPr>
                <w:rFonts w:ascii="Segoe UI" w:hAnsi="Segoe UI"/>
                <w:color w:val="334155"/>
                <w:sz w:val="19"/>
              </w:rPr>
              <w:t>Security Guardrail: If an employee requests an unapproved application (cross-referenced with Allowed_Applications.csv) or if the caller's email cannot be found in Asset Management - Sheet1.csv, the agent sets catalog_permission_approved=False and immediately flags the ticket for L2 escalation without running arbitrary commands.</w:t>
            </w:r>
          </w:p>
        </w:tc>
      </w:tr>
    </w:tbl>
    <w:p>
      <w:pPr>
        <w:spacing w:after="80"/>
      </w:pPr>
    </w:p>
    <w:p>
      <w:pPr>
        <w:pStyle w:val="Heading1"/>
        <w:spacing w:before="280" w:after="120"/>
      </w:pPr>
      <w:r>
        <w:rPr>
          <w:rFonts w:ascii="Segoe UI" w:hAnsi="Segoe UI"/>
          <w:b/>
          <w:color w:val="0F172A"/>
          <w:sz w:val="36"/>
        </w:rPr>
        <w:t>5. Unified Planner &amp; Discovery Agent Node</w:t>
      </w:r>
    </w:p>
    <w:p>
      <w:r>
        <w:t>The Planner Agent (agents/planner/node.py) constructs an executable, host-tailored plan from the retrieved OKF playbook. It leverages progressive disclosure discovery across category index files and global OKF markdown traversal, integrates host reflection memory (patterns/hosts/{hostname}.md), and performs 6-Stage Deep CoT placeholder binding.</w:t>
      </w:r>
    </w:p>
    <w:p>
      <w:r>
        <w:drawing>
          <wp:inline xmlns:a="http://schemas.openxmlformats.org/drawingml/2006/main" xmlns:pic="http://schemas.openxmlformats.org/drawingml/2006/picture">
            <wp:extent cx="6217920" cy="10309919"/>
            <wp:docPr id="5" name="Picture 5"/>
            <wp:cNvGraphicFramePr>
              <a:graphicFrameLocks noChangeAspect="1"/>
            </wp:cNvGraphicFramePr>
            <a:graphic>
              <a:graphicData uri="http://schemas.openxmlformats.org/drawingml/2006/picture">
                <pic:pic>
                  <pic:nvPicPr>
                    <pic:cNvPr id="0" name="flowchart_planner.png"/>
                    <pic:cNvPicPr/>
                  </pic:nvPicPr>
                  <pic:blipFill>
                    <a:blip r:embed="rId13"/>
                    <a:stretch>
                      <a:fillRect/>
                    </a:stretch>
                  </pic:blipFill>
                  <pic:spPr>
                    <a:xfrm>
                      <a:off x="0" y="0"/>
                      <a:ext cx="6217920" cy="10309919"/>
                    </a:xfrm>
                    <a:prstGeom prst="rect"/>
                  </pic:spPr>
                </pic:pic>
              </a:graphicData>
            </a:graphic>
          </wp:inline>
        </w:drawing>
      </w:r>
    </w:p>
    <w:p>
      <w:pPr>
        <w:spacing w:after="200"/>
        <w:jc w:val="center"/>
      </w:pPr>
      <w:r>
        <w:rPr>
          <w:i/>
          <w:sz w:val="17"/>
        </w:rPr>
        <w:t>Figure 5.1: Progressive Disclosure Discovery &amp; 6-Stage Deep CoT Assembly</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E293B"/>
            <w:tcMar>
              <w:top w:w="100" w:type="dxa"/>
              <w:bottom w:w="100" w:type="dxa"/>
              <w:left w:w="140" w:type="dxa"/>
              <w:right w:w="140" w:type="dxa"/>
            </w:tcMar>
          </w:tcPr>
          <w:p>
            <w:pPr>
              <w:jc w:val="left"/>
            </w:pPr>
            <w:r>
              <w:rPr>
                <w:rFonts w:ascii="Segoe UI" w:hAnsi="Segoe UI"/>
                <w:b/>
                <w:color w:val="FFFFFF"/>
                <w:sz w:val="19"/>
              </w:rPr>
              <w:t>Stage</w:t>
            </w:r>
          </w:p>
        </w:tc>
        <w:tc>
          <w:tcPr>
            <w:tcW w:type="dxa" w:w="3360"/>
            <w:shd w:fill="1E293B"/>
            <w:tcMar>
              <w:top w:w="100" w:type="dxa"/>
              <w:bottom w:w="100" w:type="dxa"/>
              <w:left w:w="140" w:type="dxa"/>
              <w:right w:w="140" w:type="dxa"/>
            </w:tcMar>
          </w:tcPr>
          <w:p>
            <w:pPr>
              <w:jc w:val="left"/>
            </w:pPr>
            <w:r>
              <w:rPr>
                <w:rFonts w:ascii="Segoe UI" w:hAnsi="Segoe UI"/>
                <w:b/>
                <w:color w:val="FFFFFF"/>
                <w:sz w:val="19"/>
              </w:rPr>
              <w:t>Name</w:t>
            </w:r>
          </w:p>
        </w:tc>
        <w:tc>
          <w:tcPr>
            <w:tcW w:type="dxa" w:w="3360"/>
            <w:shd w:fill="1E293B"/>
            <w:tcMar>
              <w:top w:w="100" w:type="dxa"/>
              <w:bottom w:w="100" w:type="dxa"/>
              <w:left w:w="140" w:type="dxa"/>
              <w:right w:w="140" w:type="dxa"/>
            </w:tcMar>
          </w:tcPr>
          <w:p>
            <w:pPr>
              <w:jc w:val="left"/>
            </w:pPr>
            <w:r>
              <w:rPr>
                <w:rFonts w:ascii="Segoe UI" w:hAnsi="Segoe UI"/>
                <w:b/>
                <w:color w:val="FFFFFF"/>
                <w:sz w:val="19"/>
              </w:rPr>
              <w:t>CoT Analysis Focus</w:t>
            </w:r>
          </w:p>
        </w:tc>
      </w:tr>
      <w:tr>
        <w:tc>
          <w:tcPr>
            <w:tcW w:type="dxa" w:w="3360"/>
            <w:shd w:fill="F8FAFC"/>
            <w:tcMar>
              <w:top w:w="80" w:type="dxa"/>
              <w:bottom w:w="80" w:type="dxa"/>
              <w:left w:w="140" w:type="dxa"/>
              <w:right w:w="140" w:type="dxa"/>
            </w:tcMar>
          </w:tcPr>
          <w:p>
            <w:r>
              <w:rPr>
                <w:rFonts w:ascii="Segoe UI" w:hAnsi="Segoe UI"/>
                <w:color w:val="334155"/>
                <w:sz w:val="18"/>
              </w:rPr>
              <w:t>Stage 1</w:t>
            </w:r>
          </w:p>
        </w:tc>
        <w:tc>
          <w:tcPr>
            <w:tcW w:type="dxa" w:w="3360"/>
            <w:shd w:fill="F8FAFC"/>
            <w:tcMar>
              <w:top w:w="80" w:type="dxa"/>
              <w:bottom w:w="80" w:type="dxa"/>
              <w:left w:w="140" w:type="dxa"/>
              <w:right w:w="140" w:type="dxa"/>
            </w:tcMar>
          </w:tcPr>
          <w:p>
            <w:r>
              <w:rPr>
                <w:rFonts w:ascii="Segoe UI" w:hAnsi="Segoe UI"/>
                <w:color w:val="334155"/>
                <w:sz w:val="18"/>
              </w:rPr>
              <w:t>Data Understanding</w:t>
            </w:r>
          </w:p>
        </w:tc>
        <w:tc>
          <w:tcPr>
            <w:tcW w:type="dxa" w:w="3360"/>
            <w:shd w:fill="F8FAFC"/>
            <w:tcMar>
              <w:top w:w="80" w:type="dxa"/>
              <w:bottom w:w="80" w:type="dxa"/>
              <w:left w:w="140" w:type="dxa"/>
              <w:right w:w="140" w:type="dxa"/>
            </w:tcMar>
          </w:tcPr>
          <w:p>
            <w:r>
              <w:rPr>
                <w:rFonts w:ascii="Segoe UI" w:hAnsi="Segoe UI"/>
                <w:color w:val="334155"/>
                <w:sz w:val="18"/>
              </w:rPr>
              <w:t>Analyzes ticket intent, category, and target environment (Windows/Linux).</w:t>
            </w:r>
          </w:p>
        </w:tc>
      </w:tr>
      <w:tr>
        <w:tc>
          <w:tcPr>
            <w:tcW w:type="dxa" w:w="3360"/>
            <w:shd w:fill="FFFFFF"/>
            <w:tcMar>
              <w:top w:w="80" w:type="dxa"/>
              <w:bottom w:w="80" w:type="dxa"/>
              <w:left w:w="140" w:type="dxa"/>
              <w:right w:w="140" w:type="dxa"/>
            </w:tcMar>
          </w:tcPr>
          <w:p>
            <w:r>
              <w:rPr>
                <w:rFonts w:ascii="Segoe UI" w:hAnsi="Segoe UI"/>
                <w:color w:val="334155"/>
                <w:sz w:val="18"/>
              </w:rPr>
              <w:t>Stage 2</w:t>
            </w:r>
          </w:p>
        </w:tc>
        <w:tc>
          <w:tcPr>
            <w:tcW w:type="dxa" w:w="3360"/>
            <w:shd w:fill="FFFFFF"/>
            <w:tcMar>
              <w:top w:w="80" w:type="dxa"/>
              <w:bottom w:w="80" w:type="dxa"/>
              <w:left w:w="140" w:type="dxa"/>
              <w:right w:w="140" w:type="dxa"/>
            </w:tcMar>
          </w:tcPr>
          <w:p>
            <w:r>
              <w:rPr>
                <w:rFonts w:ascii="Segoe UI" w:hAnsi="Segoe UI"/>
                <w:color w:val="334155"/>
                <w:sz w:val="18"/>
              </w:rPr>
              <w:t>Gap &amp; Delta Analysis</w:t>
            </w:r>
          </w:p>
        </w:tc>
        <w:tc>
          <w:tcPr>
            <w:tcW w:type="dxa" w:w="3360"/>
            <w:shd w:fill="FFFFFF"/>
            <w:tcMar>
              <w:top w:w="80" w:type="dxa"/>
              <w:bottom w:w="80" w:type="dxa"/>
              <w:left w:w="140" w:type="dxa"/>
              <w:right w:w="140" w:type="dxa"/>
            </w:tcMar>
          </w:tcPr>
          <w:p>
            <w:r>
              <w:rPr>
                <w:rFonts w:ascii="Segoe UI" w:hAnsi="Segoe UI"/>
                <w:color w:val="334155"/>
                <w:sz w:val="18"/>
              </w:rPr>
              <w:t>Identifies required placeholders ({entities.hostname}, {entities.executable}).</w:t>
            </w:r>
          </w:p>
        </w:tc>
      </w:tr>
      <w:tr>
        <w:tc>
          <w:tcPr>
            <w:tcW w:type="dxa" w:w="3360"/>
            <w:shd w:fill="F8FAFC"/>
            <w:tcMar>
              <w:top w:w="80" w:type="dxa"/>
              <w:bottom w:w="80" w:type="dxa"/>
              <w:left w:w="140" w:type="dxa"/>
              <w:right w:w="140" w:type="dxa"/>
            </w:tcMar>
          </w:tcPr>
          <w:p>
            <w:r>
              <w:rPr>
                <w:rFonts w:ascii="Segoe UI" w:hAnsi="Segoe UI"/>
                <w:color w:val="334155"/>
                <w:sz w:val="18"/>
              </w:rPr>
              <w:t>Stage 3</w:t>
            </w:r>
          </w:p>
        </w:tc>
        <w:tc>
          <w:tcPr>
            <w:tcW w:type="dxa" w:w="3360"/>
            <w:shd w:fill="F8FAFC"/>
            <w:tcMar>
              <w:top w:w="80" w:type="dxa"/>
              <w:bottom w:w="80" w:type="dxa"/>
              <w:left w:w="140" w:type="dxa"/>
              <w:right w:w="140" w:type="dxa"/>
            </w:tcMar>
          </w:tcPr>
          <w:p>
            <w:r>
              <w:rPr>
                <w:rFonts w:ascii="Segoe UI" w:hAnsi="Segoe UI"/>
                <w:color w:val="334155"/>
                <w:sz w:val="18"/>
              </w:rPr>
              <w:t>Memory Pattern Analysis</w:t>
            </w:r>
          </w:p>
        </w:tc>
        <w:tc>
          <w:tcPr>
            <w:tcW w:type="dxa" w:w="3360"/>
            <w:shd w:fill="F8FAFC"/>
            <w:tcMar>
              <w:top w:w="80" w:type="dxa"/>
              <w:bottom w:w="80" w:type="dxa"/>
              <w:left w:w="140" w:type="dxa"/>
              <w:right w:w="140" w:type="dxa"/>
            </w:tcMar>
          </w:tcPr>
          <w:p>
            <w:r>
              <w:rPr>
                <w:rFonts w:ascii="Segoe UI" w:hAnsi="Segoe UI"/>
                <w:color w:val="334155"/>
                <w:sz w:val="18"/>
              </w:rPr>
              <w:t>Retrieves host-specific quirks and verified recovery rules from patterns/hosts/.</w:t>
            </w:r>
          </w:p>
        </w:tc>
      </w:tr>
      <w:tr>
        <w:tc>
          <w:tcPr>
            <w:tcW w:type="dxa" w:w="3360"/>
            <w:shd w:fill="FFFFFF"/>
            <w:tcMar>
              <w:top w:w="80" w:type="dxa"/>
              <w:bottom w:w="80" w:type="dxa"/>
              <w:left w:w="140" w:type="dxa"/>
              <w:right w:w="140" w:type="dxa"/>
            </w:tcMar>
          </w:tcPr>
          <w:p>
            <w:r>
              <w:rPr>
                <w:rFonts w:ascii="Segoe UI" w:hAnsi="Segoe UI"/>
                <w:color w:val="334155"/>
                <w:sz w:val="18"/>
              </w:rPr>
              <w:t>Stage 4</w:t>
            </w:r>
          </w:p>
        </w:tc>
        <w:tc>
          <w:tcPr>
            <w:tcW w:type="dxa" w:w="3360"/>
            <w:shd w:fill="FFFFFF"/>
            <w:tcMar>
              <w:top w:w="80" w:type="dxa"/>
              <w:bottom w:w="80" w:type="dxa"/>
              <w:left w:w="140" w:type="dxa"/>
              <w:right w:w="140" w:type="dxa"/>
            </w:tcMar>
          </w:tcPr>
          <w:p>
            <w:r>
              <w:rPr>
                <w:rFonts w:ascii="Segoe UI" w:hAnsi="Segoe UI"/>
                <w:color w:val="334155"/>
                <w:sz w:val="18"/>
              </w:rPr>
              <w:t>Update Formulation</w:t>
            </w:r>
          </w:p>
        </w:tc>
        <w:tc>
          <w:tcPr>
            <w:tcW w:type="dxa" w:w="3360"/>
            <w:shd w:fill="FFFFFF"/>
            <w:tcMar>
              <w:top w:w="80" w:type="dxa"/>
              <w:bottom w:w="80" w:type="dxa"/>
              <w:left w:w="140" w:type="dxa"/>
              <w:right w:w="140" w:type="dxa"/>
            </w:tcMar>
          </w:tcPr>
          <w:p>
            <w:r>
              <w:rPr>
                <w:rFonts w:ascii="Segoe UI" w:hAnsi="Segoe UI"/>
                <w:color w:val="334155"/>
                <w:sz w:val="18"/>
              </w:rPr>
              <w:t>Adjusts timeouts, step descriptions, and error detection rules.</w:t>
            </w:r>
          </w:p>
        </w:tc>
      </w:tr>
      <w:tr>
        <w:tc>
          <w:tcPr>
            <w:tcW w:type="dxa" w:w="3360"/>
            <w:shd w:fill="F8FAFC"/>
            <w:tcMar>
              <w:top w:w="80" w:type="dxa"/>
              <w:bottom w:w="80" w:type="dxa"/>
              <w:left w:w="140" w:type="dxa"/>
              <w:right w:w="140" w:type="dxa"/>
            </w:tcMar>
          </w:tcPr>
          <w:p>
            <w:r>
              <w:rPr>
                <w:rFonts w:ascii="Segoe UI" w:hAnsi="Segoe UI"/>
                <w:color w:val="334155"/>
                <w:sz w:val="18"/>
              </w:rPr>
              <w:t>Stage 5</w:t>
            </w:r>
          </w:p>
        </w:tc>
        <w:tc>
          <w:tcPr>
            <w:tcW w:type="dxa" w:w="3360"/>
            <w:shd w:fill="F8FAFC"/>
            <w:tcMar>
              <w:top w:w="80" w:type="dxa"/>
              <w:bottom w:w="80" w:type="dxa"/>
              <w:left w:w="140" w:type="dxa"/>
              <w:right w:w="140" w:type="dxa"/>
            </w:tcMar>
          </w:tcPr>
          <w:p>
            <w:r>
              <w:rPr>
                <w:rFonts w:ascii="Segoe UI" w:hAnsi="Segoe UI"/>
                <w:color w:val="334155"/>
                <w:sz w:val="18"/>
              </w:rPr>
              <w:t>Final Verification</w:t>
            </w:r>
          </w:p>
        </w:tc>
        <w:tc>
          <w:tcPr>
            <w:tcW w:type="dxa" w:w="3360"/>
            <w:shd w:fill="F8FAFC"/>
            <w:tcMar>
              <w:top w:w="80" w:type="dxa"/>
              <w:bottom w:w="80" w:type="dxa"/>
              <w:left w:w="140" w:type="dxa"/>
              <w:right w:w="140" w:type="dxa"/>
            </w:tcMar>
          </w:tcPr>
          <w:p>
            <w:r>
              <w:rPr>
                <w:rFonts w:ascii="Segoe UI" w:hAnsi="Segoe UI"/>
                <w:color w:val="334155"/>
                <w:sz w:val="18"/>
              </w:rPr>
              <w:t>Deterministic Python validation of syntax and entity linkage before execution.</w:t>
            </w:r>
          </w:p>
        </w:tc>
      </w:tr>
    </w:tbl>
    <w:p>
      <w:pPr>
        <w:spacing w:after="120"/>
      </w:pPr>
    </w:p>
    <w:p>
      <w:pPr>
        <w:pStyle w:val="Heading1"/>
        <w:spacing w:before="280" w:after="120"/>
      </w:pPr>
      <w:r>
        <w:rPr>
          <w:rFonts w:ascii="Segoe UI" w:hAnsi="Segoe UI"/>
          <w:b/>
          <w:color w:val="0F172A"/>
          <w:sz w:val="36"/>
        </w:rPr>
        <w:t>6. Orchestration Agent &amp; Circuit Breakers</w:t>
      </w:r>
    </w:p>
    <w:p>
      <w:r>
        <w:t>Acting as the central traffic controller, the Orchestration Agent (agents/orchestration/node.py) enforces strict circuit breakers, handles step-level retries with fallback swapping, advances steps on SUCCESS, and triggers cross-SOP referrals.</w:t>
      </w:r>
    </w:p>
    <w:p>
      <w:r>
        <w:drawing>
          <wp:inline xmlns:a="http://schemas.openxmlformats.org/drawingml/2006/main" xmlns:pic="http://schemas.openxmlformats.org/drawingml/2006/picture">
            <wp:extent cx="6217920" cy="8497617"/>
            <wp:docPr id="6" name="Picture 6"/>
            <wp:cNvGraphicFramePr>
              <a:graphicFrameLocks noChangeAspect="1"/>
            </wp:cNvGraphicFramePr>
            <a:graphic>
              <a:graphicData uri="http://schemas.openxmlformats.org/drawingml/2006/picture">
                <pic:pic>
                  <pic:nvPicPr>
                    <pic:cNvPr id="0" name="flowchart_orchestration.png"/>
                    <pic:cNvPicPr/>
                  </pic:nvPicPr>
                  <pic:blipFill>
                    <a:blip r:embed="rId14"/>
                    <a:stretch>
                      <a:fillRect/>
                    </a:stretch>
                  </pic:blipFill>
                  <pic:spPr>
                    <a:xfrm>
                      <a:off x="0" y="0"/>
                      <a:ext cx="6217920" cy="8497617"/>
                    </a:xfrm>
                    <a:prstGeom prst="rect"/>
                  </pic:spPr>
                </pic:pic>
              </a:graphicData>
            </a:graphic>
          </wp:inline>
        </w:drawing>
      </w:r>
    </w:p>
    <w:p>
      <w:pPr>
        <w:spacing w:after="200"/>
        <w:jc w:val="center"/>
      </w:pPr>
      <w:r>
        <w:rPr>
          <w:i/>
          <w:sz w:val="17"/>
        </w:rPr>
        <w:t>Figure 6.1: Orchestration State Machine &amp; Circuit Breaker Guardrails</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CIRCUIT BREAKER SPECIFICATION: </w:t>
            </w:r>
            <w:r>
              <w:rPr>
                <w:rFonts w:ascii="Segoe UI" w:hAnsi="Segoe UI"/>
                <w:color w:val="334155"/>
                <w:sz w:val="19"/>
              </w:rPr>
              <w:t>Circuit Breaker Guardrails: (1) Step Retry Limit: A step is permitted a maximum of 3 retries before escalation. (2) Execution Budget: A ticket cannot exceed 15 total step executions. (3) Deterministic Swapping: On retry, the orchestrator automatically substitutes fallback_command into the execution plan.</w:t>
            </w:r>
          </w:p>
        </w:tc>
      </w:tr>
    </w:tbl>
    <w:p>
      <w:pPr>
        <w:spacing w:after="80"/>
      </w:pPr>
    </w:p>
    <w:p>
      <w:pPr>
        <w:pStyle w:val="Heading1"/>
        <w:spacing w:before="280" w:after="120"/>
      </w:pPr>
      <w:r>
        <w:rPr>
          <w:rFonts w:ascii="Segoe UI" w:hAnsi="Segoe UI"/>
          <w:b/>
          <w:color w:val="0F172A"/>
          <w:sz w:val="36"/>
        </w:rPr>
        <w:t>7. Execution Agent &amp; Multi-Protocol Command Runner</w:t>
      </w:r>
    </w:p>
    <w:p>
      <w:r>
        <w:t>The Execution Agent (agents/execution/node.py) deterministically executes commands and API tools across local workstations and remote endpoints. It features intelligent protocol routing and elevation detection.</w:t>
      </w:r>
    </w:p>
    <w:p>
      <w:r>
        <w:drawing>
          <wp:inline xmlns:a="http://schemas.openxmlformats.org/drawingml/2006/main" xmlns:pic="http://schemas.openxmlformats.org/drawingml/2006/picture">
            <wp:extent cx="6217920" cy="7961593"/>
            <wp:docPr id="7" name="Picture 7"/>
            <wp:cNvGraphicFramePr>
              <a:graphicFrameLocks noChangeAspect="1"/>
            </wp:cNvGraphicFramePr>
            <a:graphic>
              <a:graphicData uri="http://schemas.openxmlformats.org/drawingml/2006/picture">
                <pic:pic>
                  <pic:nvPicPr>
                    <pic:cNvPr id="0" name="flowchart_execution.png"/>
                    <pic:cNvPicPr/>
                  </pic:nvPicPr>
                  <pic:blipFill>
                    <a:blip r:embed="rId15"/>
                    <a:stretch>
                      <a:fillRect/>
                    </a:stretch>
                  </pic:blipFill>
                  <pic:spPr>
                    <a:xfrm>
                      <a:off x="0" y="0"/>
                      <a:ext cx="6217920" cy="7961593"/>
                    </a:xfrm>
                    <a:prstGeom prst="rect"/>
                  </pic:spPr>
                </pic:pic>
              </a:graphicData>
            </a:graphic>
          </wp:inline>
        </w:drawing>
      </w:r>
    </w:p>
    <w:p>
      <w:pPr>
        <w:spacing w:after="200"/>
        <w:jc w:val="center"/>
      </w:pPr>
      <w:r>
        <w:rPr>
          <w:i/>
          <w:sz w:val="17"/>
        </w:rPr>
        <w:t>Figure 7.1: Multi-Protocol Command Runner (Local Fast-Path vs Remote SSH/WinRM vs API)</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Target Destination</w:t>
            </w:r>
          </w:p>
        </w:tc>
        <w:tc>
          <w:tcPr>
            <w:tcW w:type="dxa" w:w="2520"/>
            <w:shd w:fill="1E293B"/>
            <w:tcMar>
              <w:top w:w="100" w:type="dxa"/>
              <w:bottom w:w="100" w:type="dxa"/>
              <w:left w:w="140" w:type="dxa"/>
              <w:right w:w="140" w:type="dxa"/>
            </w:tcMar>
          </w:tcPr>
          <w:p>
            <w:pPr>
              <w:jc w:val="left"/>
            </w:pPr>
            <w:r>
              <w:rPr>
                <w:rFonts w:ascii="Segoe UI" w:hAnsi="Segoe UI"/>
                <w:b/>
                <w:color w:val="FFFFFF"/>
                <w:sz w:val="19"/>
              </w:rPr>
              <w:t>Protocol / Mechanism</w:t>
            </w:r>
          </w:p>
        </w:tc>
        <w:tc>
          <w:tcPr>
            <w:tcW w:type="dxa" w:w="2520"/>
            <w:shd w:fill="1E293B"/>
            <w:tcMar>
              <w:top w:w="100" w:type="dxa"/>
              <w:bottom w:w="100" w:type="dxa"/>
              <w:left w:w="140" w:type="dxa"/>
              <w:right w:w="140" w:type="dxa"/>
            </w:tcMar>
          </w:tcPr>
          <w:p>
            <w:pPr>
              <w:jc w:val="left"/>
            </w:pPr>
            <w:r>
              <w:rPr>
                <w:rFonts w:ascii="Segoe UI" w:hAnsi="Segoe UI"/>
                <w:b/>
                <w:color w:val="FFFFFF"/>
                <w:sz w:val="19"/>
              </w:rPr>
              <w:t>Latency / Performance</w:t>
            </w:r>
          </w:p>
        </w:tc>
        <w:tc>
          <w:tcPr>
            <w:tcW w:type="dxa" w:w="2520"/>
            <w:shd w:fill="1E293B"/>
            <w:tcMar>
              <w:top w:w="100" w:type="dxa"/>
              <w:bottom w:w="100" w:type="dxa"/>
              <w:left w:w="140" w:type="dxa"/>
              <w:right w:w="140" w:type="dxa"/>
            </w:tcMar>
          </w:tcPr>
          <w:p>
            <w:pPr>
              <w:jc w:val="left"/>
            </w:pPr>
            <w:r>
              <w:rPr>
                <w:rFonts w:ascii="Segoe UI" w:hAnsi="Segoe UI"/>
                <w:b/>
                <w:color w:val="FFFFFF"/>
                <w:sz w:val="19"/>
              </w:rPr>
              <w:t>Features</w:t>
            </w:r>
          </w:p>
        </w:tc>
      </w:tr>
      <w:tr>
        <w:tc>
          <w:tcPr>
            <w:tcW w:type="dxa" w:w="2520"/>
            <w:shd w:fill="F8FAFC"/>
            <w:tcMar>
              <w:top w:w="80" w:type="dxa"/>
              <w:bottom w:w="80" w:type="dxa"/>
              <w:left w:w="140" w:type="dxa"/>
              <w:right w:w="140" w:type="dxa"/>
            </w:tcMar>
          </w:tcPr>
          <w:p>
            <w:r>
              <w:rPr>
                <w:rFonts w:ascii="Segoe UI" w:hAnsi="Segoe UI"/>
                <w:color w:val="334155"/>
                <w:sz w:val="18"/>
              </w:rPr>
              <w:t>Local Machine (matches COMPUTERNAME)</w:t>
            </w:r>
          </w:p>
        </w:tc>
        <w:tc>
          <w:tcPr>
            <w:tcW w:type="dxa" w:w="2520"/>
            <w:shd w:fill="F8FAFC"/>
            <w:tcMar>
              <w:top w:w="80" w:type="dxa"/>
              <w:bottom w:w="80" w:type="dxa"/>
              <w:left w:w="140" w:type="dxa"/>
              <w:right w:w="140" w:type="dxa"/>
            </w:tcMar>
          </w:tcPr>
          <w:p>
            <w:r>
              <w:rPr>
                <w:rFonts w:ascii="Segoe UI" w:hAnsi="Segoe UI"/>
                <w:color w:val="334155"/>
                <w:sz w:val="18"/>
              </w:rPr>
              <w:t>Native subprocess.run</w:t>
            </w:r>
          </w:p>
        </w:tc>
        <w:tc>
          <w:tcPr>
            <w:tcW w:type="dxa" w:w="2520"/>
            <w:shd w:fill="F8FAFC"/>
            <w:tcMar>
              <w:top w:w="80" w:type="dxa"/>
              <w:bottom w:w="80" w:type="dxa"/>
              <w:left w:w="140" w:type="dxa"/>
              <w:right w:w="140" w:type="dxa"/>
            </w:tcMar>
          </w:tcPr>
          <w:p>
            <w:r>
              <w:rPr>
                <w:rFonts w:ascii="Segoe UI" w:hAnsi="Segoe UI"/>
                <w:color w:val="334155"/>
                <w:sz w:val="18"/>
              </w:rPr>
              <w:t>0ms Network Overhead</w:t>
            </w:r>
          </w:p>
        </w:tc>
        <w:tc>
          <w:tcPr>
            <w:tcW w:type="dxa" w:w="2520"/>
            <w:shd w:fill="F8FAFC"/>
            <w:tcMar>
              <w:top w:w="80" w:type="dxa"/>
              <w:bottom w:w="80" w:type="dxa"/>
              <w:left w:w="140" w:type="dxa"/>
              <w:right w:w="140" w:type="dxa"/>
            </w:tcMar>
          </w:tcPr>
          <w:p>
            <w:r>
              <w:rPr>
                <w:rFonts w:ascii="Segoe UI" w:hAnsi="Segoe UI"/>
                <w:color w:val="334155"/>
                <w:sz w:val="18"/>
              </w:rPr>
              <w:t>Runs native powershell.exe with scheduled task elevation for system tools</w:t>
            </w:r>
          </w:p>
        </w:tc>
      </w:tr>
      <w:tr>
        <w:tc>
          <w:tcPr>
            <w:tcW w:type="dxa" w:w="2520"/>
            <w:shd w:fill="FFFFFF"/>
            <w:tcMar>
              <w:top w:w="80" w:type="dxa"/>
              <w:bottom w:w="80" w:type="dxa"/>
              <w:left w:w="140" w:type="dxa"/>
              <w:right w:w="140" w:type="dxa"/>
            </w:tcMar>
          </w:tcPr>
          <w:p>
            <w:r>
              <w:rPr>
                <w:rFonts w:ascii="Segoe UI" w:hAnsi="Segoe UI"/>
                <w:color w:val="334155"/>
                <w:sz w:val="18"/>
              </w:rPr>
              <w:t>Remote Windows/Linux Workstation</w:t>
            </w:r>
          </w:p>
        </w:tc>
        <w:tc>
          <w:tcPr>
            <w:tcW w:type="dxa" w:w="2520"/>
            <w:shd w:fill="FFFFFF"/>
            <w:tcMar>
              <w:top w:w="80" w:type="dxa"/>
              <w:bottom w:w="80" w:type="dxa"/>
              <w:left w:w="140" w:type="dxa"/>
              <w:right w:w="140" w:type="dxa"/>
            </w:tcMar>
          </w:tcPr>
          <w:p>
            <w:r>
              <w:rPr>
                <w:rFonts w:ascii="Segoe UI" w:hAnsi="Segoe UI"/>
                <w:color w:val="334155"/>
                <w:sz w:val="18"/>
              </w:rPr>
              <w:t>Paramiko SSH (Port 22)</w:t>
            </w:r>
          </w:p>
        </w:tc>
        <w:tc>
          <w:tcPr>
            <w:tcW w:type="dxa" w:w="2520"/>
            <w:shd w:fill="FFFFFF"/>
            <w:tcMar>
              <w:top w:w="80" w:type="dxa"/>
              <w:bottom w:w="80" w:type="dxa"/>
              <w:left w:w="140" w:type="dxa"/>
              <w:right w:w="140" w:type="dxa"/>
            </w:tcMar>
          </w:tcPr>
          <w:p>
            <w:r>
              <w:rPr>
                <w:rFonts w:ascii="Segoe UI" w:hAnsi="Segoe UI"/>
                <w:color w:val="334155"/>
                <w:sz w:val="18"/>
              </w:rPr>
              <w:t>Standard Network RTT</w:t>
            </w:r>
          </w:p>
        </w:tc>
        <w:tc>
          <w:tcPr>
            <w:tcW w:type="dxa" w:w="2520"/>
            <w:shd w:fill="FFFFFF"/>
            <w:tcMar>
              <w:top w:w="80" w:type="dxa"/>
              <w:bottom w:w="80" w:type="dxa"/>
              <w:left w:w="140" w:type="dxa"/>
              <w:right w:w="140" w:type="dxa"/>
            </w:tcMar>
          </w:tcPr>
          <w:p>
            <w:r>
              <w:rPr>
                <w:rFonts w:ascii="Segoe UI" w:hAnsi="Segoe UI"/>
                <w:color w:val="334155"/>
                <w:sz w:val="18"/>
              </w:rPr>
              <w:t>Automatic mDNS (.local) resolution and credential authentication</w:t>
            </w:r>
          </w:p>
        </w:tc>
      </w:tr>
      <w:tr>
        <w:tc>
          <w:tcPr>
            <w:tcW w:type="dxa" w:w="2520"/>
            <w:shd w:fill="F8FAFC"/>
            <w:tcMar>
              <w:top w:w="80" w:type="dxa"/>
              <w:bottom w:w="80" w:type="dxa"/>
              <w:left w:w="140" w:type="dxa"/>
              <w:right w:w="140" w:type="dxa"/>
            </w:tcMar>
          </w:tcPr>
          <w:p>
            <w:r>
              <w:rPr>
                <w:rFonts w:ascii="Segoe UI" w:hAnsi="Segoe UI"/>
                <w:color w:val="334155"/>
                <w:sz w:val="18"/>
              </w:rPr>
              <w:t>Remote Windows Lab Workstation</w:t>
            </w:r>
          </w:p>
        </w:tc>
        <w:tc>
          <w:tcPr>
            <w:tcW w:type="dxa" w:w="2520"/>
            <w:shd w:fill="F8FAFC"/>
            <w:tcMar>
              <w:top w:w="80" w:type="dxa"/>
              <w:bottom w:w="80" w:type="dxa"/>
              <w:left w:w="140" w:type="dxa"/>
              <w:right w:w="140" w:type="dxa"/>
            </w:tcMar>
          </w:tcPr>
          <w:p>
            <w:r>
              <w:rPr>
                <w:rFonts w:ascii="Segoe UI" w:hAnsi="Segoe UI"/>
                <w:color w:val="334155"/>
                <w:sz w:val="18"/>
              </w:rPr>
              <w:t>PyWinRM HTTP (Port 5985)</w:t>
            </w:r>
          </w:p>
        </w:tc>
        <w:tc>
          <w:tcPr>
            <w:tcW w:type="dxa" w:w="2520"/>
            <w:shd w:fill="F8FAFC"/>
            <w:tcMar>
              <w:top w:w="80" w:type="dxa"/>
              <w:bottom w:w="80" w:type="dxa"/>
              <w:left w:w="140" w:type="dxa"/>
              <w:right w:w="140" w:type="dxa"/>
            </w:tcMar>
          </w:tcPr>
          <w:p>
            <w:r>
              <w:rPr>
                <w:rFonts w:ascii="Segoe UI" w:hAnsi="Segoe UI"/>
                <w:color w:val="334155"/>
                <w:sz w:val="18"/>
              </w:rPr>
              <w:t>Standard Network RTT</w:t>
            </w:r>
          </w:p>
        </w:tc>
        <w:tc>
          <w:tcPr>
            <w:tcW w:type="dxa" w:w="2520"/>
            <w:shd w:fill="F8FAFC"/>
            <w:tcMar>
              <w:top w:w="80" w:type="dxa"/>
              <w:bottom w:w="80" w:type="dxa"/>
              <w:left w:w="140" w:type="dxa"/>
              <w:right w:w="140" w:type="dxa"/>
            </w:tcMar>
          </w:tcPr>
          <w:p>
            <w:r>
              <w:rPr>
                <w:rFonts w:ascii="Segoe UI" w:hAnsi="Segoe UI"/>
                <w:color w:val="334155"/>
                <w:sz w:val="18"/>
              </w:rPr>
              <w:t>NTLM / Basic authentication support with UTF-8 encoding configuration</w:t>
            </w:r>
          </w:p>
        </w:tc>
      </w:tr>
      <w:tr>
        <w:tc>
          <w:tcPr>
            <w:tcW w:type="dxa" w:w="2520"/>
            <w:shd w:fill="FFFFFF"/>
            <w:tcMar>
              <w:top w:w="80" w:type="dxa"/>
              <w:bottom w:w="80" w:type="dxa"/>
              <w:left w:w="140" w:type="dxa"/>
              <w:right w:w="140" w:type="dxa"/>
            </w:tcMar>
          </w:tcPr>
          <w:p>
            <w:r>
              <w:rPr>
                <w:rFonts w:ascii="Segoe UI" w:hAnsi="Segoe UI"/>
                <w:color w:val="334155"/>
                <w:sz w:val="18"/>
              </w:rPr>
              <w:t>Identity &amp; Cloud Tools</w:t>
            </w:r>
          </w:p>
        </w:tc>
        <w:tc>
          <w:tcPr>
            <w:tcW w:type="dxa" w:w="2520"/>
            <w:shd w:fill="FFFFFF"/>
            <w:tcMar>
              <w:top w:w="80" w:type="dxa"/>
              <w:bottom w:w="80" w:type="dxa"/>
              <w:left w:w="140" w:type="dxa"/>
              <w:right w:w="140" w:type="dxa"/>
            </w:tcMar>
          </w:tcPr>
          <w:p>
            <w:r>
              <w:rPr>
                <w:rFonts w:ascii="Segoe UI" w:hAnsi="Segoe UI"/>
                <w:color w:val="334155"/>
                <w:sz w:val="18"/>
              </w:rPr>
              <w:t>REST API Client</w:t>
            </w:r>
          </w:p>
        </w:tc>
        <w:tc>
          <w:tcPr>
            <w:tcW w:type="dxa" w:w="2520"/>
            <w:shd w:fill="FFFFFF"/>
            <w:tcMar>
              <w:top w:w="80" w:type="dxa"/>
              <w:bottom w:w="80" w:type="dxa"/>
              <w:left w:w="140" w:type="dxa"/>
              <w:right w:w="140" w:type="dxa"/>
            </w:tcMar>
          </w:tcPr>
          <w:p>
            <w:r>
              <w:rPr>
                <w:rFonts w:ascii="Segoe UI" w:hAnsi="Segoe UI"/>
                <w:color w:val="334155"/>
                <w:sz w:val="18"/>
              </w:rPr>
              <w:t>&lt; 100ms API Latency</w:t>
            </w:r>
          </w:p>
        </w:tc>
        <w:tc>
          <w:tcPr>
            <w:tcW w:type="dxa" w:w="2520"/>
            <w:shd w:fill="FFFFFF"/>
            <w:tcMar>
              <w:top w:w="80" w:type="dxa"/>
              <w:bottom w:w="80" w:type="dxa"/>
              <w:left w:w="140" w:type="dxa"/>
              <w:right w:w="140" w:type="dxa"/>
            </w:tcMar>
          </w:tcPr>
          <w:p>
            <w:r>
              <w:rPr>
                <w:rFonts w:ascii="Segoe UI" w:hAnsi="Segoe UI"/>
                <w:color w:val="334155"/>
                <w:sz w:val="18"/>
              </w:rPr>
              <w:t>Auth0, Okta, Mock Admin Console, and Solandra API integrations</w:t>
            </w:r>
          </w:p>
        </w:tc>
      </w:tr>
    </w:tbl>
    <w:p>
      <w:pPr>
        <w:spacing w:after="120"/>
      </w:pPr>
    </w:p>
    <w:p>
      <w:pPr>
        <w:pStyle w:val="Heading1"/>
        <w:spacing w:before="280" w:after="120"/>
      </w:pPr>
      <w:r>
        <w:rPr>
          <w:rFonts w:ascii="Segoe UI" w:hAnsi="Segoe UI"/>
          <w:b/>
          <w:color w:val="0F172A"/>
          <w:sz w:val="36"/>
        </w:rPr>
        <w:t>8. Execution Result Verifier &amp; Variable Extractor</w:t>
      </w:r>
    </w:p>
    <w:p>
      <w:r>
        <w:t>The Execution Result Agent (agents/execution_result/node.py) analyzes execution output (stdout, stderr, exit code). It dynamically extracts runtime variables and evaluates conditional parse instructions.</w:t>
      </w:r>
    </w:p>
    <w:p>
      <w:r>
        <w:drawing>
          <wp:inline xmlns:a="http://schemas.openxmlformats.org/drawingml/2006/main" xmlns:pic="http://schemas.openxmlformats.org/drawingml/2006/picture">
            <wp:extent cx="6217920" cy="13796010"/>
            <wp:docPr id="8" name="Picture 8"/>
            <wp:cNvGraphicFramePr>
              <a:graphicFrameLocks noChangeAspect="1"/>
            </wp:cNvGraphicFramePr>
            <a:graphic>
              <a:graphicData uri="http://schemas.openxmlformats.org/drawingml/2006/picture">
                <pic:pic>
                  <pic:nvPicPr>
                    <pic:cNvPr id="0" name="flowchart_verifier.png"/>
                    <pic:cNvPicPr/>
                  </pic:nvPicPr>
                  <pic:blipFill>
                    <a:blip r:embed="rId16"/>
                    <a:stretch>
                      <a:fillRect/>
                    </a:stretch>
                  </pic:blipFill>
                  <pic:spPr>
                    <a:xfrm>
                      <a:off x="0" y="0"/>
                      <a:ext cx="6217920" cy="13796010"/>
                    </a:xfrm>
                    <a:prstGeom prst="rect"/>
                  </pic:spPr>
                </pic:pic>
              </a:graphicData>
            </a:graphic>
          </wp:inline>
        </w:drawing>
      </w:r>
    </w:p>
    <w:p>
      <w:pPr>
        <w:spacing w:after="200"/>
        <w:jc w:val="center"/>
      </w:pPr>
      <w:r>
        <w:rPr>
          <w:i/>
          <w:sz w:val="17"/>
        </w:rPr>
        <w:t>Figure 8.1: Fast Structural JSON Parsing &amp; LLM Output Analysis Pipeline</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Borders>
              <w:top w:val="none"/>
              <w:left w:val="single" w:sz="36" w:space="0" w:color="3B82F6"/>
              <w:bottom w:val="none"/>
              <w:right w:val="none"/>
            </w:tcBorders>
          </w:tcPr>
          <w:p>
            <w:pPr>
              <w:spacing w:before="40" w:after="40"/>
            </w:pPr>
            <w:r>
              <w:rPr>
                <w:rFonts w:ascii="Segoe UI" w:hAnsi="Segoe UI"/>
                <w:b/>
                <w:color w:val="1E3A8A"/>
                <w:sz w:val="20"/>
              </w:rPr>
              <w:t xml:space="preserve">📌 HYBRID EXTRACTION ARCHITECTURE: </w:t>
            </w:r>
            <w:r>
              <w:rPr>
                <w:rFonts w:ascii="Segoe UI" w:hAnsi="Segoe UI"/>
                <w:color w:val="334155"/>
                <w:sz w:val="19"/>
              </w:rPr>
              <w:t>Hybrid Verification Architecture: For API JSON responses, structural dictionary lookups complete in &lt; 1ms with 0 token cost. For complex CLI output with conditional parse rules, a Chain-of-Thought LLM analysis extracts snake_case state variables (e.g., PIDs, IPs, status flags) and determines the next_action verdict (SUCCESS, RETRY, or ESCALATE).</w:t>
            </w:r>
          </w:p>
        </w:tc>
      </w:tr>
    </w:tbl>
    <w:p>
      <w:pPr>
        <w:spacing w:after="80"/>
      </w:pPr>
    </w:p>
    <w:p>
      <w:pPr>
        <w:pStyle w:val="Heading1"/>
        <w:spacing w:before="280" w:after="120"/>
      </w:pPr>
      <w:r>
        <w:rPr>
          <w:rFonts w:ascii="Segoe UI" w:hAnsi="Segoe UI"/>
          <w:b/>
          <w:color w:val="0F172A"/>
          <w:sz w:val="36"/>
        </w:rPr>
        <w:t>9. Escalation &amp; 3-Tier Summarization Agents</w:t>
      </w:r>
    </w:p>
    <w:p>
      <w:r>
        <w:t>The terminal phase of the workflow synthesizes user communication and engineering reports while updating episodic memory on disk.</w:t>
      </w:r>
    </w:p>
    <w:p>
      <w:r>
        <w:drawing>
          <wp:inline xmlns:a="http://schemas.openxmlformats.org/drawingml/2006/main" xmlns:pic="http://schemas.openxmlformats.org/drawingml/2006/picture">
            <wp:extent cx="6217920" cy="19563700"/>
            <wp:docPr id="9" name="Picture 9"/>
            <wp:cNvGraphicFramePr>
              <a:graphicFrameLocks noChangeAspect="1"/>
            </wp:cNvGraphicFramePr>
            <a:graphic>
              <a:graphicData uri="http://schemas.openxmlformats.org/drawingml/2006/picture">
                <pic:pic>
                  <pic:nvPicPr>
                    <pic:cNvPr id="0" name="flowchart_summarization.png"/>
                    <pic:cNvPicPr/>
                  </pic:nvPicPr>
                  <pic:blipFill>
                    <a:blip r:embed="rId17"/>
                    <a:stretch>
                      <a:fillRect/>
                    </a:stretch>
                  </pic:blipFill>
                  <pic:spPr>
                    <a:xfrm>
                      <a:off x="0" y="0"/>
                      <a:ext cx="6217920" cy="19563700"/>
                    </a:xfrm>
                    <a:prstGeom prst="rect"/>
                  </pic:spPr>
                </pic:pic>
              </a:graphicData>
            </a:graphic>
          </wp:inline>
        </w:drawing>
      </w:r>
    </w:p>
    <w:p>
      <w:pPr>
        <w:spacing w:after="200"/>
        <w:jc w:val="center"/>
      </w:pPr>
      <w:r>
        <w:rPr>
          <w:i/>
          <w:sz w:val="17"/>
        </w:rPr>
        <w:t>Figure 9.1: 3-Tier Resilient Summarization &amp; Episodic Memory Logging</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E293B"/>
            <w:tcMar>
              <w:top w:w="100" w:type="dxa"/>
              <w:bottom w:w="100" w:type="dxa"/>
              <w:left w:w="140" w:type="dxa"/>
              <w:right w:w="140" w:type="dxa"/>
            </w:tcMar>
          </w:tcPr>
          <w:p>
            <w:pPr>
              <w:jc w:val="left"/>
            </w:pPr>
            <w:r>
              <w:rPr>
                <w:rFonts w:ascii="Segoe UI" w:hAnsi="Segoe UI"/>
                <w:b/>
                <w:color w:val="FFFFFF"/>
                <w:sz w:val="19"/>
              </w:rPr>
              <w:t>Summarization Tier</w:t>
            </w:r>
          </w:p>
        </w:tc>
        <w:tc>
          <w:tcPr>
            <w:tcW w:type="dxa" w:w="3360"/>
            <w:shd w:fill="1E293B"/>
            <w:tcMar>
              <w:top w:w="100" w:type="dxa"/>
              <w:bottom w:w="100" w:type="dxa"/>
              <w:left w:w="140" w:type="dxa"/>
              <w:right w:w="140" w:type="dxa"/>
            </w:tcMar>
          </w:tcPr>
          <w:p>
            <w:pPr>
              <w:jc w:val="left"/>
            </w:pPr>
            <w:r>
              <w:rPr>
                <w:rFonts w:ascii="Segoe UI" w:hAnsi="Segoe UI"/>
                <w:b/>
                <w:color w:val="FFFFFF"/>
                <w:sz w:val="19"/>
              </w:rPr>
              <w:t>Mechanism</w:t>
            </w:r>
          </w:p>
        </w:tc>
        <w:tc>
          <w:tcPr>
            <w:tcW w:type="dxa" w:w="3360"/>
            <w:shd w:fill="1E293B"/>
            <w:tcMar>
              <w:top w:w="100" w:type="dxa"/>
              <w:bottom w:w="100" w:type="dxa"/>
              <w:left w:w="140" w:type="dxa"/>
              <w:right w:w="140" w:type="dxa"/>
            </w:tcMar>
          </w:tcPr>
          <w:p>
            <w:pPr>
              <w:jc w:val="left"/>
            </w:pPr>
            <w:r>
              <w:rPr>
                <w:rFonts w:ascii="Segoe UI" w:hAnsi="Segoe UI"/>
                <w:b/>
                <w:color w:val="FFFFFF"/>
                <w:sz w:val="19"/>
              </w:rPr>
              <w:t>Resilience &amp; Fallback Behavior</w:t>
            </w:r>
          </w:p>
        </w:tc>
      </w:tr>
      <w:tr>
        <w:tc>
          <w:tcPr>
            <w:tcW w:type="dxa" w:w="3360"/>
            <w:shd w:fill="F8FAFC"/>
            <w:tcMar>
              <w:top w:w="80" w:type="dxa"/>
              <w:bottom w:w="80" w:type="dxa"/>
              <w:left w:w="140" w:type="dxa"/>
              <w:right w:w="140" w:type="dxa"/>
            </w:tcMar>
          </w:tcPr>
          <w:p>
            <w:r>
              <w:rPr>
                <w:rFonts w:ascii="Segoe UI" w:hAnsi="Segoe UI"/>
                <w:color w:val="334155"/>
                <w:sz w:val="18"/>
              </w:rPr>
              <w:t>Tier 1: Structured Pydantic LLM</w:t>
            </w:r>
          </w:p>
        </w:tc>
        <w:tc>
          <w:tcPr>
            <w:tcW w:type="dxa" w:w="3360"/>
            <w:shd w:fill="F8FAFC"/>
            <w:tcMar>
              <w:top w:w="80" w:type="dxa"/>
              <w:bottom w:w="80" w:type="dxa"/>
              <w:left w:w="140" w:type="dxa"/>
              <w:right w:w="140" w:type="dxa"/>
            </w:tcMar>
          </w:tcPr>
          <w:p>
            <w:r>
              <w:rPr>
                <w:rFonts w:ascii="Segoe UI" w:hAnsi="Segoe UI"/>
                <w:color w:val="334155"/>
                <w:sz w:val="18"/>
              </w:rPr>
              <w:t>ChatGoogleGenerativeAI (Gemini 2.5 Flash)</w:t>
            </w:r>
          </w:p>
        </w:tc>
        <w:tc>
          <w:tcPr>
            <w:tcW w:type="dxa" w:w="3360"/>
            <w:shd w:fill="F8FAFC"/>
            <w:tcMar>
              <w:top w:w="80" w:type="dxa"/>
              <w:bottom w:w="80" w:type="dxa"/>
              <w:left w:w="140" w:type="dxa"/>
              <w:right w:w="140" w:type="dxa"/>
            </w:tcMar>
          </w:tcPr>
          <w:p>
            <w:r>
              <w:rPr>
                <w:rFonts w:ascii="Segoe UI" w:hAnsi="Segoe UI"/>
                <w:color w:val="334155"/>
                <w:sz w:val="18"/>
              </w:rPr>
              <w:t>Direct schema-enforced output generating customer reply and engineering markdown.</w:t>
            </w:r>
          </w:p>
        </w:tc>
      </w:tr>
      <w:tr>
        <w:tc>
          <w:tcPr>
            <w:tcW w:type="dxa" w:w="3360"/>
            <w:shd w:fill="FFFFFF"/>
            <w:tcMar>
              <w:top w:w="80" w:type="dxa"/>
              <w:bottom w:w="80" w:type="dxa"/>
              <w:left w:w="140" w:type="dxa"/>
              <w:right w:w="140" w:type="dxa"/>
            </w:tcMar>
          </w:tcPr>
          <w:p>
            <w:r>
              <w:rPr>
                <w:rFonts w:ascii="Segoe UI" w:hAnsi="Segoe UI"/>
                <w:color w:val="334155"/>
                <w:sz w:val="18"/>
              </w:rPr>
              <w:t>Tier 2: Raw JSON Parsing</w:t>
            </w:r>
          </w:p>
        </w:tc>
        <w:tc>
          <w:tcPr>
            <w:tcW w:type="dxa" w:w="3360"/>
            <w:shd w:fill="FFFFFF"/>
            <w:tcMar>
              <w:top w:w="80" w:type="dxa"/>
              <w:bottom w:w="80" w:type="dxa"/>
              <w:left w:w="140" w:type="dxa"/>
              <w:right w:w="140" w:type="dxa"/>
            </w:tcMar>
          </w:tcPr>
          <w:p>
            <w:r>
              <w:rPr>
                <w:rFonts w:ascii="Segoe UI" w:hAnsi="Segoe UI"/>
                <w:color w:val="334155"/>
                <w:sz w:val="18"/>
              </w:rPr>
              <w:t>Fallback LLM Invoke</w:t>
            </w:r>
          </w:p>
        </w:tc>
        <w:tc>
          <w:tcPr>
            <w:tcW w:type="dxa" w:w="3360"/>
            <w:shd w:fill="FFFFFF"/>
            <w:tcMar>
              <w:top w:w="80" w:type="dxa"/>
              <w:bottom w:w="80" w:type="dxa"/>
              <w:left w:w="140" w:type="dxa"/>
              <w:right w:w="140" w:type="dxa"/>
            </w:tcMar>
          </w:tcPr>
          <w:p>
            <w:r>
              <w:rPr>
                <w:rFonts w:ascii="Segoe UI" w:hAnsi="Segoe UI"/>
                <w:color w:val="334155"/>
                <w:sz w:val="18"/>
              </w:rPr>
              <w:t>Extracts JSON blocks using regular expressions if structured schema binding fails.</w:t>
            </w:r>
          </w:p>
        </w:tc>
      </w:tr>
      <w:tr>
        <w:tc>
          <w:tcPr>
            <w:tcW w:type="dxa" w:w="3360"/>
            <w:shd w:fill="F8FAFC"/>
            <w:tcMar>
              <w:top w:w="80" w:type="dxa"/>
              <w:bottom w:w="80" w:type="dxa"/>
              <w:left w:w="140" w:type="dxa"/>
              <w:right w:w="140" w:type="dxa"/>
            </w:tcMar>
          </w:tcPr>
          <w:p>
            <w:r>
              <w:rPr>
                <w:rFonts w:ascii="Segoe UI" w:hAnsi="Segoe UI"/>
                <w:color w:val="334155"/>
                <w:sz w:val="18"/>
              </w:rPr>
              <w:t>Tier 3: Programmatic Fallback</w:t>
            </w:r>
          </w:p>
        </w:tc>
        <w:tc>
          <w:tcPr>
            <w:tcW w:type="dxa" w:w="3360"/>
            <w:shd w:fill="F8FAFC"/>
            <w:tcMar>
              <w:top w:w="80" w:type="dxa"/>
              <w:bottom w:w="80" w:type="dxa"/>
              <w:left w:w="140" w:type="dxa"/>
              <w:right w:w="140" w:type="dxa"/>
            </w:tcMar>
          </w:tcPr>
          <w:p>
            <w:r>
              <w:rPr>
                <w:rFonts w:ascii="Segoe UI" w:hAnsi="Segoe UI"/>
                <w:color w:val="334155"/>
                <w:sz w:val="18"/>
              </w:rPr>
              <w:t>Deterministic Python Generator</w:t>
            </w:r>
          </w:p>
        </w:tc>
        <w:tc>
          <w:tcPr>
            <w:tcW w:type="dxa" w:w="3360"/>
            <w:shd w:fill="F8FAFC"/>
            <w:tcMar>
              <w:top w:w="80" w:type="dxa"/>
              <w:bottom w:w="80" w:type="dxa"/>
              <w:left w:w="140" w:type="dxa"/>
              <w:right w:w="140" w:type="dxa"/>
            </w:tcMar>
          </w:tcPr>
          <w:p>
            <w:r>
              <w:rPr>
                <w:rFonts w:ascii="Segoe UI" w:hAnsi="Segoe UI"/>
                <w:color w:val="334155"/>
                <w:sz w:val="18"/>
              </w:rPr>
              <w:t>100% reliable programmatic fallback that guarantees a formatted customer email and technical report.</w:t>
            </w:r>
          </w:p>
        </w:tc>
      </w:tr>
    </w:tbl>
    <w:p>
      <w:pPr>
        <w:spacing w:after="120"/>
      </w:pPr>
    </w:p>
    <w:p>
      <w:pPr>
        <w:pStyle w:val="Heading1"/>
        <w:spacing w:before="280" w:after="120"/>
      </w:pPr>
      <w:r>
        <w:rPr>
          <w:rFonts w:ascii="Segoe UI" w:hAnsi="Segoe UI"/>
          <w:b/>
          <w:color w:val="0F172A"/>
          <w:sz w:val="36"/>
        </w:rPr>
        <w:t>10. SupportState Schema &amp; Data Contracts</w:t>
      </w:r>
    </w:p>
    <w:p>
      <w:r>
        <w:t>The LangGraph workflow communicates through a centralized SupportState dictionary defined in shared/state.py. Key state fields across all agent nodes include: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293B"/>
            <w:tcMar>
              <w:top w:w="100" w:type="dxa"/>
              <w:bottom w:w="100" w:type="dxa"/>
              <w:left w:w="140" w:type="dxa"/>
              <w:right w:w="140" w:type="dxa"/>
            </w:tcMar>
          </w:tcPr>
          <w:p>
            <w:pPr>
              <w:jc w:val="left"/>
            </w:pPr>
            <w:r>
              <w:rPr>
                <w:rFonts w:ascii="Segoe UI" w:hAnsi="Segoe UI"/>
                <w:b/>
                <w:color w:val="FFFFFF"/>
                <w:sz w:val="19"/>
              </w:rPr>
              <w:t>State Key</w:t>
            </w:r>
          </w:p>
        </w:tc>
        <w:tc>
          <w:tcPr>
            <w:tcW w:type="dxa" w:w="2520"/>
            <w:shd w:fill="1E293B"/>
            <w:tcMar>
              <w:top w:w="100" w:type="dxa"/>
              <w:bottom w:w="100" w:type="dxa"/>
              <w:left w:w="140" w:type="dxa"/>
              <w:right w:w="140" w:type="dxa"/>
            </w:tcMar>
          </w:tcPr>
          <w:p>
            <w:pPr>
              <w:jc w:val="left"/>
            </w:pPr>
            <w:r>
              <w:rPr>
                <w:rFonts w:ascii="Segoe UI" w:hAnsi="Segoe UI"/>
                <w:b/>
                <w:color w:val="FFFFFF"/>
                <w:sz w:val="19"/>
              </w:rPr>
              <w:t>Type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Scope</w:t>
            </w:r>
          </w:p>
        </w:tc>
        <w:tc>
          <w:tcPr>
            <w:tcW w:type="dxa" w:w="2520"/>
            <w:shd w:fill="1E293B"/>
            <w:tcMar>
              <w:top w:w="100" w:type="dxa"/>
              <w:bottom w:w="100" w:type="dxa"/>
              <w:left w:w="140" w:type="dxa"/>
              <w:right w:w="140" w:type="dxa"/>
            </w:tcMar>
          </w:tcPr>
          <w:p>
            <w:pPr>
              <w:jc w:val="left"/>
            </w:pPr>
            <w:r>
              <w:rPr>
                <w:rFonts w:ascii="Segoe UI" w:hAnsi="Segoe UI"/>
                <w:b/>
                <w:color w:val="FFFFFF"/>
                <w:sz w:val="19"/>
              </w:rPr>
              <w:t>Description</w:t>
            </w:r>
          </w:p>
        </w:tc>
      </w:tr>
      <w:tr>
        <w:tc>
          <w:tcPr>
            <w:tcW w:type="dxa" w:w="2520"/>
            <w:shd w:fill="F8FAFC"/>
            <w:tcMar>
              <w:top w:w="80" w:type="dxa"/>
              <w:bottom w:w="80" w:type="dxa"/>
              <w:left w:w="140" w:type="dxa"/>
              <w:right w:w="140" w:type="dxa"/>
            </w:tcMar>
          </w:tcPr>
          <w:p>
            <w:r>
              <w:rPr>
                <w:rFonts w:ascii="Segoe UI" w:hAnsi="Segoe UI"/>
                <w:color w:val="334155"/>
                <w:sz w:val="18"/>
              </w:rPr>
              <w:t>ticket_raw</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Global</w:t>
            </w:r>
          </w:p>
        </w:tc>
        <w:tc>
          <w:tcPr>
            <w:tcW w:type="dxa" w:w="2520"/>
            <w:shd w:fill="F8FAFC"/>
            <w:tcMar>
              <w:top w:w="80" w:type="dxa"/>
              <w:bottom w:w="80" w:type="dxa"/>
              <w:left w:w="140" w:type="dxa"/>
              <w:right w:w="140" w:type="dxa"/>
            </w:tcMar>
          </w:tcPr>
          <w:p>
            <w:r>
              <w:rPr>
                <w:rFonts w:ascii="Segoe UI" w:hAnsi="Segoe UI"/>
                <w:color w:val="334155"/>
                <w:sz w:val="18"/>
              </w:rPr>
              <w:t>Raw incoming customer problem statement.</w:t>
            </w:r>
          </w:p>
        </w:tc>
      </w:tr>
      <w:tr>
        <w:tc>
          <w:tcPr>
            <w:tcW w:type="dxa" w:w="2520"/>
            <w:shd w:fill="FFFFFF"/>
            <w:tcMar>
              <w:top w:w="80" w:type="dxa"/>
              <w:bottom w:w="80" w:type="dxa"/>
              <w:left w:w="140" w:type="dxa"/>
              <w:right w:w="140" w:type="dxa"/>
            </w:tcMar>
          </w:tcPr>
          <w:p>
            <w:r>
              <w:rPr>
                <w:rFonts w:ascii="Segoe UI" w:hAnsi="Segoe UI"/>
                <w:color w:val="334155"/>
                <w:sz w:val="18"/>
              </w:rPr>
              <w:t>entities</w:t>
            </w:r>
          </w:p>
        </w:tc>
        <w:tc>
          <w:tcPr>
            <w:tcW w:type="dxa" w:w="2520"/>
            <w:shd w:fill="FFFFFF"/>
            <w:tcMar>
              <w:top w:w="80" w:type="dxa"/>
              <w:bottom w:w="80" w:type="dxa"/>
              <w:left w:w="140" w:type="dxa"/>
              <w:right w:w="140" w:type="dxa"/>
            </w:tcMar>
          </w:tcPr>
          <w:p>
            <w:r>
              <w:rPr>
                <w:rFonts w:ascii="Segoe UI" w:hAnsi="Segoe UI"/>
                <w:color w:val="334155"/>
                <w:sz w:val="18"/>
              </w:rPr>
              <w:t>Dict[str, str]</w:t>
            </w:r>
          </w:p>
        </w:tc>
        <w:tc>
          <w:tcPr>
            <w:tcW w:type="dxa" w:w="2520"/>
            <w:shd w:fill="FFFFFF"/>
            <w:tcMar>
              <w:top w:w="80" w:type="dxa"/>
              <w:bottom w:w="80" w:type="dxa"/>
              <w:left w:w="140" w:type="dxa"/>
              <w:right w:w="140" w:type="dxa"/>
            </w:tcMar>
          </w:tcPr>
          <w:p>
            <w:r>
              <w:rPr>
                <w:rFonts w:ascii="Segoe UI" w:hAnsi="Segoe UI"/>
                <w:color w:val="334155"/>
                <w:sz w:val="18"/>
              </w:rPr>
              <w:t>Global</w:t>
            </w:r>
          </w:p>
        </w:tc>
        <w:tc>
          <w:tcPr>
            <w:tcW w:type="dxa" w:w="2520"/>
            <w:shd w:fill="FFFFFF"/>
            <w:tcMar>
              <w:top w:w="80" w:type="dxa"/>
              <w:bottom w:w="80" w:type="dxa"/>
              <w:left w:w="140" w:type="dxa"/>
              <w:right w:w="140" w:type="dxa"/>
            </w:tcMar>
          </w:tcPr>
          <w:p>
            <w:r>
              <w:rPr>
                <w:rFonts w:ascii="Segoe UI" w:hAnsi="Segoe UI"/>
                <w:color w:val="334155"/>
                <w:sz w:val="18"/>
              </w:rPr>
              <w:t>Extracted entities (email, hostname, executable, username).</w:t>
            </w:r>
          </w:p>
        </w:tc>
      </w:tr>
      <w:tr>
        <w:tc>
          <w:tcPr>
            <w:tcW w:type="dxa" w:w="2520"/>
            <w:shd w:fill="F8FAFC"/>
            <w:tcMar>
              <w:top w:w="80" w:type="dxa"/>
              <w:bottom w:w="80" w:type="dxa"/>
              <w:left w:w="140" w:type="dxa"/>
              <w:right w:w="140" w:type="dxa"/>
            </w:tcMar>
          </w:tcPr>
          <w:p>
            <w:r>
              <w:rPr>
                <w:rFonts w:ascii="Segoe UI" w:hAnsi="Segoe UI"/>
                <w:color w:val="334155"/>
                <w:sz w:val="18"/>
              </w:rPr>
              <w:t>variables</w:t>
            </w:r>
          </w:p>
        </w:tc>
        <w:tc>
          <w:tcPr>
            <w:tcW w:type="dxa" w:w="2520"/>
            <w:shd w:fill="F8FAFC"/>
            <w:tcMar>
              <w:top w:w="80" w:type="dxa"/>
              <w:bottom w:w="80" w:type="dxa"/>
              <w:left w:w="140" w:type="dxa"/>
              <w:right w:w="140" w:type="dxa"/>
            </w:tcMar>
          </w:tcPr>
          <w:p>
            <w:r>
              <w:rPr>
                <w:rFonts w:ascii="Segoe UI" w:hAnsi="Segoe UI"/>
                <w:color w:val="334155"/>
                <w:sz w:val="18"/>
              </w:rPr>
              <w:t>Dict[str, Any]</w:t>
            </w:r>
          </w:p>
        </w:tc>
        <w:tc>
          <w:tcPr>
            <w:tcW w:type="dxa" w:w="2520"/>
            <w:shd w:fill="F8FAFC"/>
            <w:tcMar>
              <w:top w:w="80" w:type="dxa"/>
              <w:bottom w:w="80" w:type="dxa"/>
              <w:left w:w="140" w:type="dxa"/>
              <w:right w:w="140" w:type="dxa"/>
            </w:tcMar>
          </w:tcPr>
          <w:p>
            <w:r>
              <w:rPr>
                <w:rFonts w:ascii="Segoe UI" w:hAnsi="Segoe UI"/>
                <w:color w:val="334155"/>
                <w:sz w:val="18"/>
              </w:rPr>
              <w:t>Dynamic</w:t>
            </w:r>
          </w:p>
        </w:tc>
        <w:tc>
          <w:tcPr>
            <w:tcW w:type="dxa" w:w="2520"/>
            <w:shd w:fill="F8FAFC"/>
            <w:tcMar>
              <w:top w:w="80" w:type="dxa"/>
              <w:bottom w:w="80" w:type="dxa"/>
              <w:left w:w="140" w:type="dxa"/>
              <w:right w:w="140" w:type="dxa"/>
            </w:tcMar>
          </w:tcPr>
          <w:p>
            <w:r>
              <w:rPr>
                <w:rFonts w:ascii="Segoe UI" w:hAnsi="Segoe UI"/>
                <w:color w:val="334155"/>
                <w:sz w:val="18"/>
              </w:rPr>
              <w:t>Runtime variables extracted by execution_result_agent.</w:t>
            </w:r>
          </w:p>
        </w:tc>
      </w:tr>
      <w:tr>
        <w:tc>
          <w:tcPr>
            <w:tcW w:type="dxa" w:w="2520"/>
            <w:shd w:fill="FFFFFF"/>
            <w:tcMar>
              <w:top w:w="80" w:type="dxa"/>
              <w:bottom w:w="80" w:type="dxa"/>
              <w:left w:w="140" w:type="dxa"/>
              <w:right w:w="140" w:type="dxa"/>
            </w:tcMar>
          </w:tcPr>
          <w:p>
            <w:r>
              <w:rPr>
                <w:rFonts w:ascii="Segoe UI" w:hAnsi="Segoe UI"/>
                <w:color w:val="334155"/>
                <w:sz w:val="18"/>
              </w:rPr>
              <w:t>execution_plan</w:t>
            </w:r>
          </w:p>
        </w:tc>
        <w:tc>
          <w:tcPr>
            <w:tcW w:type="dxa" w:w="2520"/>
            <w:shd w:fill="FFFFFF"/>
            <w:tcMar>
              <w:top w:w="80" w:type="dxa"/>
              <w:bottom w:w="80" w:type="dxa"/>
              <w:left w:w="140" w:type="dxa"/>
              <w:right w:w="140" w:type="dxa"/>
            </w:tcMar>
          </w:tcPr>
          <w:p>
            <w:r>
              <w:rPr>
                <w:rFonts w:ascii="Segoe UI" w:hAnsi="Segoe UI"/>
                <w:color w:val="334155"/>
                <w:sz w:val="18"/>
              </w:rPr>
              <w:t>Dict[str, Any]</w:t>
            </w:r>
          </w:p>
        </w:tc>
        <w:tc>
          <w:tcPr>
            <w:tcW w:type="dxa" w:w="2520"/>
            <w:shd w:fill="FFFFFF"/>
            <w:tcMar>
              <w:top w:w="80" w:type="dxa"/>
              <w:bottom w:w="80" w:type="dxa"/>
              <w:left w:w="140" w:type="dxa"/>
              <w:right w:w="140" w:type="dxa"/>
            </w:tcMar>
          </w:tcPr>
          <w:p>
            <w:r>
              <w:rPr>
                <w:rFonts w:ascii="Segoe UI" w:hAnsi="Segoe UI"/>
                <w:color w:val="334155"/>
                <w:sz w:val="18"/>
              </w:rPr>
              <w:t>Planner</w:t>
            </w:r>
          </w:p>
        </w:tc>
        <w:tc>
          <w:tcPr>
            <w:tcW w:type="dxa" w:w="2520"/>
            <w:shd w:fill="FFFFFF"/>
            <w:tcMar>
              <w:top w:w="80" w:type="dxa"/>
              <w:bottom w:w="80" w:type="dxa"/>
              <w:left w:w="140" w:type="dxa"/>
              <w:right w:w="140" w:type="dxa"/>
            </w:tcMar>
          </w:tcPr>
          <w:p>
            <w:r>
              <w:rPr>
                <w:rFonts w:ascii="Segoe UI" w:hAnsi="Segoe UI"/>
                <w:color w:val="334155"/>
                <w:sz w:val="18"/>
              </w:rPr>
              <w:t>Bound execution steps with commands and parse rules.</w:t>
            </w:r>
          </w:p>
        </w:tc>
      </w:tr>
      <w:tr>
        <w:tc>
          <w:tcPr>
            <w:tcW w:type="dxa" w:w="2520"/>
            <w:shd w:fill="F8FAFC"/>
            <w:tcMar>
              <w:top w:w="80" w:type="dxa"/>
              <w:bottom w:w="80" w:type="dxa"/>
              <w:left w:w="140" w:type="dxa"/>
              <w:right w:w="140" w:type="dxa"/>
            </w:tcMar>
          </w:tcPr>
          <w:p>
            <w:r>
              <w:rPr>
                <w:rFonts w:ascii="Segoe UI" w:hAnsi="Segoe UI"/>
                <w:color w:val="334155"/>
                <w:sz w:val="18"/>
              </w:rPr>
              <w:t>current_step_index</w:t>
            </w:r>
          </w:p>
        </w:tc>
        <w:tc>
          <w:tcPr>
            <w:tcW w:type="dxa" w:w="2520"/>
            <w:shd w:fill="F8FAFC"/>
            <w:tcMar>
              <w:top w:w="80" w:type="dxa"/>
              <w:bottom w:w="80" w:type="dxa"/>
              <w:left w:w="140" w:type="dxa"/>
              <w:right w:w="140" w:type="dxa"/>
            </w:tcMar>
          </w:tcPr>
          <w:p>
            <w:r>
              <w:rPr>
                <w:rFonts w:ascii="Segoe UI" w:hAnsi="Segoe UI"/>
                <w:color w:val="334155"/>
                <w:sz w:val="18"/>
              </w:rPr>
              <w:t>Integer</w:t>
            </w:r>
          </w:p>
        </w:tc>
        <w:tc>
          <w:tcPr>
            <w:tcW w:type="dxa" w:w="2520"/>
            <w:shd w:fill="F8FAFC"/>
            <w:tcMar>
              <w:top w:w="80" w:type="dxa"/>
              <w:bottom w:w="80" w:type="dxa"/>
              <w:left w:w="140" w:type="dxa"/>
              <w:right w:w="140" w:type="dxa"/>
            </w:tcMar>
          </w:tcPr>
          <w:p>
            <w:r>
              <w:rPr>
                <w:rFonts w:ascii="Segoe UI" w:hAnsi="Segoe UI"/>
                <w:color w:val="334155"/>
                <w:sz w:val="18"/>
              </w:rPr>
              <w:t>Orchestrator</w:t>
            </w:r>
          </w:p>
        </w:tc>
        <w:tc>
          <w:tcPr>
            <w:tcW w:type="dxa" w:w="2520"/>
            <w:shd w:fill="F8FAFC"/>
            <w:tcMar>
              <w:top w:w="80" w:type="dxa"/>
              <w:bottom w:w="80" w:type="dxa"/>
              <w:left w:w="140" w:type="dxa"/>
              <w:right w:w="140" w:type="dxa"/>
            </w:tcMar>
          </w:tcPr>
          <w:p>
            <w:r>
              <w:rPr>
                <w:rFonts w:ascii="Segoe UI" w:hAnsi="Segoe UI"/>
                <w:color w:val="334155"/>
                <w:sz w:val="18"/>
              </w:rPr>
              <w:t>0-based index of the currently executing plan step.</w:t>
            </w:r>
          </w:p>
        </w:tc>
      </w:tr>
      <w:tr>
        <w:tc>
          <w:tcPr>
            <w:tcW w:type="dxa" w:w="2520"/>
            <w:shd w:fill="FFFFFF"/>
            <w:tcMar>
              <w:top w:w="80" w:type="dxa"/>
              <w:bottom w:w="80" w:type="dxa"/>
              <w:left w:w="140" w:type="dxa"/>
              <w:right w:w="140" w:type="dxa"/>
            </w:tcMar>
          </w:tcPr>
          <w:p>
            <w:r>
              <w:rPr>
                <w:rFonts w:ascii="Segoe UI" w:hAnsi="Segoe UI"/>
                <w:color w:val="334155"/>
                <w:sz w:val="18"/>
              </w:rPr>
              <w:t>execution_retry_attempts</w:t>
            </w:r>
          </w:p>
        </w:tc>
        <w:tc>
          <w:tcPr>
            <w:tcW w:type="dxa" w:w="2520"/>
            <w:shd w:fill="FFFFFF"/>
            <w:tcMar>
              <w:top w:w="80" w:type="dxa"/>
              <w:bottom w:w="80" w:type="dxa"/>
              <w:left w:w="140" w:type="dxa"/>
              <w:right w:w="140" w:type="dxa"/>
            </w:tcMar>
          </w:tcPr>
          <w:p>
            <w:r>
              <w:rPr>
                <w:rFonts w:ascii="Segoe UI" w:hAnsi="Segoe UI"/>
                <w:color w:val="334155"/>
                <w:sz w:val="18"/>
              </w:rPr>
              <w:t>Integer</w:t>
            </w:r>
          </w:p>
        </w:tc>
        <w:tc>
          <w:tcPr>
            <w:tcW w:type="dxa" w:w="2520"/>
            <w:shd w:fill="FFFFFF"/>
            <w:tcMar>
              <w:top w:w="80" w:type="dxa"/>
              <w:bottom w:w="80" w:type="dxa"/>
              <w:left w:w="140" w:type="dxa"/>
              <w:right w:w="140" w:type="dxa"/>
            </w:tcMar>
          </w:tcPr>
          <w:p>
            <w:r>
              <w:rPr>
                <w:rFonts w:ascii="Segoe UI" w:hAnsi="Segoe UI"/>
                <w:color w:val="334155"/>
                <w:sz w:val="18"/>
              </w:rPr>
              <w:t>Orchestrator</w:t>
            </w:r>
          </w:p>
        </w:tc>
        <w:tc>
          <w:tcPr>
            <w:tcW w:type="dxa" w:w="2520"/>
            <w:shd w:fill="FFFFFF"/>
            <w:tcMar>
              <w:top w:w="80" w:type="dxa"/>
              <w:bottom w:w="80" w:type="dxa"/>
              <w:left w:w="140" w:type="dxa"/>
              <w:right w:w="140" w:type="dxa"/>
            </w:tcMar>
          </w:tcPr>
          <w:p>
            <w:r>
              <w:rPr>
                <w:rFonts w:ascii="Segoe UI" w:hAnsi="Segoe UI"/>
                <w:color w:val="334155"/>
                <w:sz w:val="18"/>
              </w:rPr>
              <w:t>Active retry count for current step (max 3).</w:t>
            </w:r>
          </w:p>
        </w:tc>
      </w:tr>
      <w:tr>
        <w:tc>
          <w:tcPr>
            <w:tcW w:type="dxa" w:w="2520"/>
            <w:shd w:fill="F8FAFC"/>
            <w:tcMar>
              <w:top w:w="80" w:type="dxa"/>
              <w:bottom w:w="80" w:type="dxa"/>
              <w:left w:w="140" w:type="dxa"/>
              <w:right w:w="140" w:type="dxa"/>
            </w:tcMar>
          </w:tcPr>
          <w:p>
            <w:r>
              <w:rPr>
                <w:rFonts w:ascii="Segoe UI" w:hAnsi="Segoe UI"/>
                <w:color w:val="334155"/>
                <w:sz w:val="18"/>
              </w:rPr>
              <w:t>is_human_approved</w:t>
            </w:r>
          </w:p>
        </w:tc>
        <w:tc>
          <w:tcPr>
            <w:tcW w:type="dxa" w:w="2520"/>
            <w:shd w:fill="F8FAFC"/>
            <w:tcMar>
              <w:top w:w="80" w:type="dxa"/>
              <w:bottom w:w="80" w:type="dxa"/>
              <w:left w:w="140" w:type="dxa"/>
              <w:right w:w="140" w:type="dxa"/>
            </w:tcMar>
          </w:tcPr>
          <w:p>
            <w:r>
              <w:rPr>
                <w:rFonts w:ascii="Segoe UI" w:hAnsi="Segoe UI"/>
                <w:color w:val="334155"/>
                <w:sz w:val="18"/>
              </w:rPr>
              <w:t>Boolean</w:t>
            </w:r>
          </w:p>
        </w:tc>
        <w:tc>
          <w:tcPr>
            <w:tcW w:type="dxa" w:w="2520"/>
            <w:shd w:fill="F8FAFC"/>
            <w:tcMar>
              <w:top w:w="80" w:type="dxa"/>
              <w:bottom w:w="80" w:type="dxa"/>
              <w:left w:w="140" w:type="dxa"/>
              <w:right w:w="140" w:type="dxa"/>
            </w:tcMar>
          </w:tcPr>
          <w:p>
            <w:r>
              <w:rPr>
                <w:rFonts w:ascii="Segoe UI" w:hAnsi="Segoe UI"/>
                <w:color w:val="334155"/>
                <w:sz w:val="18"/>
              </w:rPr>
              <w:t>HITL</w:t>
            </w:r>
          </w:p>
        </w:tc>
        <w:tc>
          <w:tcPr>
            <w:tcW w:type="dxa" w:w="2520"/>
            <w:shd w:fill="F8FAFC"/>
            <w:tcMar>
              <w:top w:w="80" w:type="dxa"/>
              <w:bottom w:w="80" w:type="dxa"/>
              <w:left w:w="140" w:type="dxa"/>
              <w:right w:w="140" w:type="dxa"/>
            </w:tcMar>
          </w:tcPr>
          <w:p>
            <w:r>
              <w:rPr>
                <w:rFonts w:ascii="Segoe UI" w:hAnsi="Segoe UI"/>
                <w:color w:val="334155"/>
                <w:sz w:val="18"/>
              </w:rPr>
              <w:t>Tracks operator plan approval across graph iterations.</w:t>
            </w:r>
          </w:p>
        </w:tc>
      </w:tr>
      <w:tr>
        <w:tc>
          <w:tcPr>
            <w:tcW w:type="dxa" w:w="2520"/>
            <w:shd w:fill="FFFFFF"/>
            <w:tcMar>
              <w:top w:w="80" w:type="dxa"/>
              <w:bottom w:w="80" w:type="dxa"/>
              <w:left w:w="140" w:type="dxa"/>
              <w:right w:w="140" w:type="dxa"/>
            </w:tcMar>
          </w:tcPr>
          <w:p>
            <w:r>
              <w:rPr>
                <w:rFonts w:ascii="Segoe UI" w:hAnsi="Segoe UI"/>
                <w:color w:val="334155"/>
                <w:sz w:val="18"/>
              </w:rPr>
              <w:t>workflow_status</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Global</w:t>
            </w:r>
          </w:p>
        </w:tc>
        <w:tc>
          <w:tcPr>
            <w:tcW w:type="dxa" w:w="2520"/>
            <w:shd w:fill="FFFFFF"/>
            <w:tcMar>
              <w:top w:w="80" w:type="dxa"/>
              <w:bottom w:w="80" w:type="dxa"/>
              <w:left w:w="140" w:type="dxa"/>
              <w:right w:w="140" w:type="dxa"/>
            </w:tcMar>
          </w:tcPr>
          <w:p>
            <w:r>
              <w:rPr>
                <w:rFonts w:ascii="Segoe UI" w:hAnsi="Segoe UI"/>
                <w:color w:val="334155"/>
                <w:sz w:val="18"/>
              </w:rPr>
              <w:t>Lifecycle status: pending, in_progress, completed, escalated, need_clarification.</w:t>
            </w:r>
          </w:p>
        </w:tc>
      </w:tr>
      <w:tr>
        <w:tc>
          <w:tcPr>
            <w:tcW w:type="dxa" w:w="2520"/>
            <w:shd w:fill="F8FAFC"/>
            <w:tcMar>
              <w:top w:w="80" w:type="dxa"/>
              <w:bottom w:w="80" w:type="dxa"/>
              <w:left w:w="140" w:type="dxa"/>
              <w:right w:w="140" w:type="dxa"/>
            </w:tcMar>
          </w:tcPr>
          <w:p>
            <w:r>
              <w:rPr>
                <w:rFonts w:ascii="Segoe UI" w:hAnsi="Segoe UI"/>
                <w:color w:val="334155"/>
                <w:sz w:val="18"/>
              </w:rPr>
              <w:t>customer_ticket_reply</w:t>
            </w:r>
          </w:p>
        </w:tc>
        <w:tc>
          <w:tcPr>
            <w:tcW w:type="dxa" w:w="2520"/>
            <w:shd w:fill="F8FAFC"/>
            <w:tcMar>
              <w:top w:w="80" w:type="dxa"/>
              <w:bottom w:w="80" w:type="dxa"/>
              <w:left w:w="140" w:type="dxa"/>
              <w:right w:w="140" w:type="dxa"/>
            </w:tcMar>
          </w:tcPr>
          <w:p>
            <w:r>
              <w:rPr>
                <w:rFonts w:ascii="Segoe UI" w:hAnsi="Segoe UI"/>
                <w:color w:val="334155"/>
                <w:sz w:val="18"/>
              </w:rPr>
              <w:t>String</w:t>
            </w:r>
          </w:p>
        </w:tc>
        <w:tc>
          <w:tcPr>
            <w:tcW w:type="dxa" w:w="2520"/>
            <w:shd w:fill="F8FAFC"/>
            <w:tcMar>
              <w:top w:w="80" w:type="dxa"/>
              <w:bottom w:w="80" w:type="dxa"/>
              <w:left w:w="140" w:type="dxa"/>
              <w:right w:w="140" w:type="dxa"/>
            </w:tcMar>
          </w:tcPr>
          <w:p>
            <w:r>
              <w:rPr>
                <w:rFonts w:ascii="Segoe UI" w:hAnsi="Segoe UI"/>
                <w:color w:val="334155"/>
                <w:sz w:val="18"/>
              </w:rPr>
              <w:t>Summarizer</w:t>
            </w:r>
          </w:p>
        </w:tc>
        <w:tc>
          <w:tcPr>
            <w:tcW w:type="dxa" w:w="2520"/>
            <w:shd w:fill="F8FAFC"/>
            <w:tcMar>
              <w:top w:w="80" w:type="dxa"/>
              <w:bottom w:w="80" w:type="dxa"/>
              <w:left w:w="140" w:type="dxa"/>
              <w:right w:w="140" w:type="dxa"/>
            </w:tcMar>
          </w:tcPr>
          <w:p>
            <w:r>
              <w:rPr>
                <w:rFonts w:ascii="Segoe UI" w:hAnsi="Segoe UI"/>
                <w:color w:val="334155"/>
                <w:sz w:val="18"/>
              </w:rPr>
              <w:t>Plain-language resolution email sent to end user.</w:t>
            </w:r>
          </w:p>
        </w:tc>
      </w:tr>
      <w:tr>
        <w:tc>
          <w:tcPr>
            <w:tcW w:type="dxa" w:w="2520"/>
            <w:shd w:fill="FFFFFF"/>
            <w:tcMar>
              <w:top w:w="80" w:type="dxa"/>
              <w:bottom w:w="80" w:type="dxa"/>
              <w:left w:w="140" w:type="dxa"/>
              <w:right w:w="140" w:type="dxa"/>
            </w:tcMar>
          </w:tcPr>
          <w:p>
            <w:r>
              <w:rPr>
                <w:rFonts w:ascii="Segoe UI" w:hAnsi="Segoe UI"/>
                <w:color w:val="334155"/>
                <w:sz w:val="18"/>
              </w:rPr>
              <w:t>internal_ticket_summary</w:t>
            </w:r>
          </w:p>
        </w:tc>
        <w:tc>
          <w:tcPr>
            <w:tcW w:type="dxa" w:w="2520"/>
            <w:shd w:fill="FFFFFF"/>
            <w:tcMar>
              <w:top w:w="80" w:type="dxa"/>
              <w:bottom w:w="80" w:type="dxa"/>
              <w:left w:w="140" w:type="dxa"/>
              <w:right w:w="140" w:type="dxa"/>
            </w:tcMar>
          </w:tcPr>
          <w:p>
            <w:r>
              <w:rPr>
                <w:rFonts w:ascii="Segoe UI" w:hAnsi="Segoe UI"/>
                <w:color w:val="334155"/>
                <w:sz w:val="18"/>
              </w:rPr>
              <w:t>String</w:t>
            </w:r>
          </w:p>
        </w:tc>
        <w:tc>
          <w:tcPr>
            <w:tcW w:type="dxa" w:w="2520"/>
            <w:shd w:fill="FFFFFF"/>
            <w:tcMar>
              <w:top w:w="80" w:type="dxa"/>
              <w:bottom w:w="80" w:type="dxa"/>
              <w:left w:w="140" w:type="dxa"/>
              <w:right w:w="140" w:type="dxa"/>
            </w:tcMar>
          </w:tcPr>
          <w:p>
            <w:r>
              <w:rPr>
                <w:rFonts w:ascii="Segoe UI" w:hAnsi="Segoe UI"/>
                <w:color w:val="334155"/>
                <w:sz w:val="18"/>
              </w:rPr>
              <w:t>Summarizer</w:t>
            </w:r>
          </w:p>
        </w:tc>
        <w:tc>
          <w:tcPr>
            <w:tcW w:type="dxa" w:w="2520"/>
            <w:shd w:fill="FFFFFF"/>
            <w:tcMar>
              <w:top w:w="80" w:type="dxa"/>
              <w:bottom w:w="80" w:type="dxa"/>
              <w:left w:w="140" w:type="dxa"/>
              <w:right w:w="140" w:type="dxa"/>
            </w:tcMar>
          </w:tcPr>
          <w:p>
            <w:r>
              <w:rPr>
                <w:rFonts w:ascii="Segoe UI" w:hAnsi="Segoe UI"/>
                <w:color w:val="334155"/>
                <w:sz w:val="18"/>
              </w:rPr>
              <w:t>Comprehensive Markdown engineering diagnostic report.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