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40"/>
        </w:rPr>
        <w:t>SOP Ingestion Pipeline — Low-Level Architecture Flowchart</w:t>
      </w:r>
    </w:p>
    <w:p>
      <w:pPr>
        <w:spacing w:after="200"/>
      </w:pPr>
      <w:r>
        <w:rPr>
          <w:rFonts w:ascii="Calibri" w:hAnsi="Calibri"/>
          <w:color w:val="556B82"/>
          <w:sz w:val="22"/>
        </w:rPr>
        <w:t>Complete End-to-End Decision Flow, Security Gates, Retry Loops &amp; Validation Lifecycle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2592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Diagram Type:</w:t>
            </w:r>
          </w:p>
        </w:tc>
        <w:tc>
          <w:tcPr>
            <w:tcW w:type="dxa" w:w="6768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Interactive Mermaid Architectural Flowchart (High-Resolution Vector Render)</w:t>
            </w:r>
          </w:p>
        </w:tc>
      </w:tr>
      <w:tr>
        <w:tc>
          <w:tcPr>
            <w:tcW w:type="dxa" w:w="2592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Lifecycle Scope:</w:t>
            </w:r>
          </w:p>
        </w:tc>
        <w:tc>
          <w:tcPr>
            <w:tcW w:type="dxa" w:w="6768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Pre-Ingestion → Multimodal Parsing → Triage → JIT Conversion → Dual Validation → Storage</w:t>
            </w:r>
          </w:p>
        </w:tc>
      </w:tr>
      <w:tr>
        <w:tc>
          <w:tcPr>
            <w:tcW w:type="dxa" w:w="2592"/>
            <w:shd w:fill="F4F6F9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17"/>
              </w:rPr>
              <w:t>Interactive Viewer:</w:t>
            </w:r>
          </w:p>
        </w:tc>
        <w:tc>
          <w:tcPr>
            <w:tcW w:type="dxa" w:w="6768"/>
            <w:shd w:fill="FAFCFD"/>
            <w:tcMar>
              <w:top w:w="30" w:type="dxa"/>
              <w:bottom w:w="30" w:type="dxa"/>
              <w:left w:w="70" w:type="dxa"/>
              <w:right w:w="70" w:type="dxa"/>
            </w:tcMar>
          </w:tcPr>
          <w:p>
            <w:pPr>
              <w:spacing w:after="0"/>
            </w:pPr>
            <w:r>
              <w:rPr>
                <w:color w:val="333333"/>
                <w:sz w:val="17"/>
              </w:rPr>
              <w:t>Open INGESTION_PIPELINE_INTERACTIVE_FLOWCHART.html for Full Pan &amp; Zoom in Browser</w:t>
            </w:r>
          </w:p>
        </w:tc>
      </w:tr>
    </w:tbl>
    <w:p>
      <w:pPr>
        <w:spacing w:after="160"/>
      </w:pPr>
    </w:p>
    <w:p>
      <w:pPr>
        <w:spacing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217920" cy="17086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_pipelin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086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666666"/>
          <w:sz w:val="17"/>
        </w:rPr>
        <w:t>Figure 1: Complete Ingestion Pipeline Flowchart (Pre-Checks, Splicer, Reasoning, Guardrails &amp; Retry Loops)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