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SOP Ingestion &amp; JIT Compilation Analysis</w:t>
      </w:r>
    </w:p>
    <w:p>
      <w:pPr>
        <w:spacing w:before="0" w:after="280"/>
      </w:pPr>
      <w:r>
        <w:rPr>
          <w:rFonts w:ascii="Calibri" w:hAnsi="Calibri"/>
          <w:color w:val="556B82"/>
          <w:sz w:val="26"/>
        </w:rPr>
        <w:t>Multi-Execution Consistency, Model Latency, &amp; Deterministic Playbook Verification Report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896"/>
        <w:gridCol w:w="4896"/>
      </w:tblGrid>
      <w:tr>
        <w:tc>
          <w:tcPr>
            <w:tcW w:type="dxa" w:w="2592"/>
            <w:shd w:fill="F4F6F9"/>
            <w:tcMar>
              <w:top w:w="50" w:type="dxa"/>
              <w:bottom w:w="50" w:type="dxa"/>
              <w:left w:w="100" w:type="dxa"/>
              <w:right w:w="100" w:type="dxa"/>
            </w:tcMar>
          </w:tcPr>
          <w:p>
            <w:pPr>
              <w:spacing w:after="20"/>
            </w:pPr>
            <w:r>
              <w:rPr>
                <w:rFonts w:ascii="Calibri" w:hAnsi="Calibri"/>
                <w:b/>
                <w:color w:val="1B365D"/>
                <w:sz w:val="19"/>
              </w:rPr>
              <w:t>Target Document:</w:t>
            </w:r>
          </w:p>
        </w:tc>
        <w:tc>
          <w:tcPr>
            <w:tcW w:type="dxa" w:w="6768"/>
            <w:shd w:fill="FAFCFD"/>
            <w:tcMar>
              <w:top w:w="50" w:type="dxa"/>
              <w:bottom w:w="50" w:type="dxa"/>
              <w:left w:w="100" w:type="dxa"/>
              <w:right w:w="100" w:type="dxa"/>
            </w:tcMar>
          </w:tcPr>
          <w:p>
            <w:pPr>
              <w:spacing w:after="20"/>
            </w:pPr>
            <w:r>
              <w:rPr>
                <w:rFonts w:ascii="Calibri" w:hAnsi="Calibri"/>
                <w:color w:val="333333"/>
                <w:sz w:val="19"/>
              </w:rPr>
              <w:t>sop_software_application_unblock_request_ifeo.pdf (SOP-L1-APP-001)</w:t>
            </w:r>
          </w:p>
        </w:tc>
      </w:tr>
      <w:tr>
        <w:tc>
          <w:tcPr>
            <w:tcW w:type="dxa" w:w="2592"/>
            <w:shd w:fill="F4F6F9"/>
            <w:tcMar>
              <w:top w:w="50" w:type="dxa"/>
              <w:bottom w:w="50" w:type="dxa"/>
              <w:left w:w="100" w:type="dxa"/>
              <w:right w:w="100" w:type="dxa"/>
            </w:tcMar>
          </w:tcPr>
          <w:p>
            <w:pPr>
              <w:spacing w:after="20"/>
            </w:pPr>
            <w:r>
              <w:rPr>
                <w:rFonts w:ascii="Calibri" w:hAnsi="Calibri"/>
                <w:b/>
                <w:color w:val="1B365D"/>
                <w:sz w:val="19"/>
              </w:rPr>
              <w:t>Workflow Category:</w:t>
            </w:r>
          </w:p>
        </w:tc>
        <w:tc>
          <w:tcPr>
            <w:tcW w:type="dxa" w:w="6768"/>
            <w:shd w:fill="FAFCFD"/>
            <w:tcMar>
              <w:top w:w="50" w:type="dxa"/>
              <w:bottom w:w="50" w:type="dxa"/>
              <w:left w:w="100" w:type="dxa"/>
              <w:right w:w="100" w:type="dxa"/>
            </w:tcMar>
          </w:tcPr>
          <w:p>
            <w:pPr>
              <w:spacing w:after="20"/>
            </w:pPr>
            <w:r>
              <w:rPr>
                <w:rFonts w:ascii="Calibri" w:hAnsi="Calibri"/>
                <w:color w:val="333333"/>
                <w:sz w:val="19"/>
              </w:rPr>
              <w:t>Endpoint Support → Application Management (IFEO Remediation)</w:t>
            </w:r>
          </w:p>
        </w:tc>
      </w:tr>
      <w:tr>
        <w:tc>
          <w:tcPr>
            <w:tcW w:type="dxa" w:w="2592"/>
            <w:shd w:fill="F4F6F9"/>
            <w:tcMar>
              <w:top w:w="50" w:type="dxa"/>
              <w:bottom w:w="50" w:type="dxa"/>
              <w:left w:w="100" w:type="dxa"/>
              <w:right w:w="100" w:type="dxa"/>
            </w:tcMar>
          </w:tcPr>
          <w:p>
            <w:pPr>
              <w:spacing w:after="20"/>
            </w:pPr>
            <w:r>
              <w:rPr>
                <w:rFonts w:ascii="Calibri" w:hAnsi="Calibri"/>
                <w:b/>
                <w:color w:val="1B365D"/>
                <w:sz w:val="19"/>
              </w:rPr>
              <w:t>Executions Analyzed:</w:t>
            </w:r>
          </w:p>
        </w:tc>
        <w:tc>
          <w:tcPr>
            <w:tcW w:type="dxa" w:w="6768"/>
            <w:shd w:fill="FAFCFD"/>
            <w:tcMar>
              <w:top w:w="50" w:type="dxa"/>
              <w:bottom w:w="50" w:type="dxa"/>
              <w:left w:w="100" w:type="dxa"/>
              <w:right w:w="100" w:type="dxa"/>
            </w:tcMar>
          </w:tcPr>
          <w:p>
            <w:pPr>
              <w:spacing w:after="20"/>
            </w:pPr>
            <w:r>
              <w:rPr>
                <w:rFonts w:ascii="Calibri" w:hAnsi="Calibri"/>
                <w:color w:val="333333"/>
                <w:sz w:val="19"/>
              </w:rPr>
              <w:t>3 Consecutive Automated Ingestion Runs</w:t>
            </w:r>
          </w:p>
        </w:tc>
      </w:tr>
      <w:tr>
        <w:tc>
          <w:tcPr>
            <w:tcW w:type="dxa" w:w="2592"/>
            <w:shd w:fill="F4F6F9"/>
            <w:tcMar>
              <w:top w:w="50" w:type="dxa"/>
              <w:bottom w:w="50" w:type="dxa"/>
              <w:left w:w="100" w:type="dxa"/>
              <w:right w:w="100" w:type="dxa"/>
            </w:tcMar>
          </w:tcPr>
          <w:p>
            <w:pPr>
              <w:spacing w:after="20"/>
            </w:pPr>
            <w:r>
              <w:rPr>
                <w:rFonts w:ascii="Calibri" w:hAnsi="Calibri"/>
                <w:b/>
                <w:color w:val="1B365D"/>
                <w:sz w:val="19"/>
              </w:rPr>
              <w:t>Date / Environment:</w:t>
            </w:r>
          </w:p>
        </w:tc>
        <w:tc>
          <w:tcPr>
            <w:tcW w:type="dxa" w:w="6768"/>
            <w:shd w:fill="FAFCFD"/>
            <w:tcMar>
              <w:top w:w="50" w:type="dxa"/>
              <w:bottom w:w="50" w:type="dxa"/>
              <w:left w:w="100" w:type="dxa"/>
              <w:right w:w="100" w:type="dxa"/>
            </w:tcMar>
          </w:tcPr>
          <w:p>
            <w:pPr>
              <w:spacing w:after="20"/>
            </w:pPr>
            <w:r>
              <w:rPr>
                <w:rFonts w:ascii="Calibri" w:hAnsi="Calibri"/>
                <w:color w:val="333333"/>
                <w:sz w:val="19"/>
              </w:rPr>
              <w:t>August 30, 2026 | Elone Agent Ingestion Engine (Python 3.11 / LangChain 1.6.0)</w:t>
            </w:r>
          </w:p>
        </w:tc>
      </w:tr>
    </w:tbl>
    <w:p>
      <w:pPr>
        <w:spacing w:after="200"/>
      </w:pPr>
    </w:p>
    <w:p>
      <w:pPr>
        <w:pStyle w:val="Heading1"/>
        <w:spacing w:before="280" w:after="120"/>
      </w:pPr>
      <w:r>
        <w:rPr>
          <w:rFonts w:ascii="Calibri" w:hAnsi="Calibri"/>
          <w:color w:val="1B365D"/>
        </w:rPr>
        <w:t>1. Executive Summary</w:t>
      </w:r>
    </w:p>
    <w:p>
      <w:pPr>
        <w:spacing w:after="120" w:line="276" w:lineRule="auto"/>
      </w:pPr>
      <w:r>
        <w:rPr>
          <w:sz w:val="21"/>
        </w:rPr>
        <w:t xml:space="preserve">This evaluation report examines three sequential automated compilations of the standard operating procedure document </w:t>
      </w:r>
      <w:r>
        <w:rPr>
          <w:b/>
          <w:sz w:val="21"/>
        </w:rPr>
        <w:t>sop_software_application_unblock_request_ifeo.pdf</w:t>
      </w:r>
      <w:r>
        <w:rPr>
          <w:sz w:val="21"/>
        </w:rPr>
        <w:t xml:space="preserve"> through the Elone JIT OKF Ingestion Pipeline. The objective of this multi-run assessment was to verify: (1) the strict determinism and stability of converted executable commands, (2) the resilience of multi-provider fallback chains, and (3) the operational improvement achieved by re-calibrating the Layer 2 validation model from </w:t>
      </w:r>
      <w:r>
        <w:rPr>
          <w:b/>
        </w:rPr>
        <w:t>mistral-large-latest</w:t>
      </w:r>
      <w:r>
        <w:rPr>
          <w:sz w:val="21"/>
        </w:rPr>
        <w:t xml:space="preserve"> to </w:t>
      </w:r>
      <w:r>
        <w:rPr>
          <w:b/>
        </w:rPr>
        <w:t>mistral-small-latest</w:t>
      </w:r>
      <w:r>
        <w:rPr>
          <w:sz w:val="21"/>
        </w:rPr>
        <w:t>.</w:t>
      </w:r>
    </w:p>
    <w:p>
      <w:pPr>
        <w:spacing w:after="160" w:line="276" w:lineRule="auto"/>
      </w:pPr>
      <w:r>
        <w:rPr>
          <w:b/>
        </w:rPr>
        <w:t>Key Findings:</w:t>
        <w:br/>
      </w:r>
    </w:p>
    <w:p>
      <w:pPr>
        <w:pStyle w:val="ListBullet"/>
        <w:spacing w:after="60" w:line="276" w:lineRule="auto"/>
      </w:pPr>
      <w:r>
        <w:rPr>
          <w:b/>
          <w:sz w:val="20"/>
        </w:rPr>
        <w:t xml:space="preserve">100% Playbook Output Consistency: </w:t>
      </w:r>
      <w:r>
        <w:rPr>
          <w:sz w:val="20"/>
        </w:rPr>
        <w:t>Across all 3 executions, the generated executable playbook maintained identical step ordering, identical parameter placeholders ({{entities.hostname}}, {{entities.application}}), and exact conditional gates with zero step drift or hallucination.</w:t>
      </w:r>
    </w:p>
    <w:p>
      <w:pPr>
        <w:pStyle w:val="ListBullet"/>
        <w:spacing w:after="60" w:line="276" w:lineRule="auto"/>
      </w:pPr>
      <w:r>
        <w:rPr>
          <w:b/>
          <w:sz w:val="20"/>
        </w:rPr>
        <w:t xml:space="preserve">Successful Validator Optimization: </w:t>
      </w:r>
      <w:r>
        <w:rPr>
          <w:sz w:val="20"/>
        </w:rPr>
        <w:t>In Run 1, the validator encountered a 403 tier restriction on Mistral Large, requiring fallback escalation. Updating the configuration to mistral-small-latest enabled instant, error-free Layer 2 validation in Runs 2 &amp; 3 in just 2.28s and 2.37s respectively.</w:t>
      </w:r>
    </w:p>
    <w:p>
      <w:pPr>
        <w:pStyle w:val="ListBullet"/>
        <w:spacing w:after="60" w:line="276" w:lineRule="auto"/>
      </w:pPr>
      <w:r>
        <w:rPr>
          <w:b/>
          <w:sz w:val="20"/>
        </w:rPr>
        <w:t xml:space="preserve">High Cost &amp; Token Efficiency: </w:t>
      </w:r>
      <w:r>
        <w:rPr>
          <w:sz w:val="20"/>
        </w:rPr>
        <w:t>Each complete ingestion cycle averaged 14,700 tokens costing approximately $0.05 USD (~Rs. 4.40 INR), maintaining high economic viability for continuous enterprise knowledge ingestion.</w:t>
      </w:r>
    </w:p>
    <w:p>
      <w:pPr>
        <w:spacing w:after="120"/>
      </w:pPr>
    </w:p>
    <w:p>
      <w:pPr>
        <w:pStyle w:val="Heading1"/>
        <w:spacing w:before="240" w:after="120"/>
      </w:pPr>
      <w:r>
        <w:rPr>
          <w:rFonts w:ascii="Calibri" w:hAnsi="Calibri"/>
          <w:color w:val="1B365D"/>
        </w:rPr>
        <w:t>2. Comparative Multi-Execution Metrics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448"/>
        <w:gridCol w:w="2448"/>
        <w:gridCol w:w="2448"/>
        <w:gridCol w:w="2448"/>
      </w:tblGrid>
      <w:tr>
        <w:tc>
          <w:tcPr>
            <w:tcW w:type="dxa" w:w="2448"/>
            <w:shd w:fill="1B365D"/>
            <w:tcMar>
              <w:top w:w="80" w:type="dxa"/>
              <w:bottom w:w="80" w:type="dxa"/>
              <w:left w:w="100" w:type="dxa"/>
              <w:right w:w="100" w:type="dxa"/>
            </w:tcMar>
          </w:tcPr>
          <w:p>
            <w:pPr>
              <w:jc w:val="left"/>
            </w:pPr>
            <w:r>
              <w:rPr>
                <w:rFonts w:ascii="Calibri" w:hAnsi="Calibri"/>
                <w:b/>
                <w:color w:val="FFFFFF"/>
                <w:sz w:val="19"/>
              </w:rPr>
              <w:t>Evaluation Metric</w:t>
            </w:r>
          </w:p>
        </w:tc>
        <w:tc>
          <w:tcPr>
            <w:tcW w:type="dxa" w:w="2448"/>
            <w:shd w:fill="1B365D"/>
            <w:tcMar>
              <w:top w:w="80" w:type="dxa"/>
              <w:bottom w:w="80" w:type="dxa"/>
              <w:left w:w="100" w:type="dxa"/>
              <w:right w:w="100" w:type="dxa"/>
            </w:tcMar>
          </w:tcPr>
          <w:p>
            <w:pPr>
              <w:jc w:val="left"/>
            </w:pPr>
            <w:r>
              <w:rPr>
                <w:rFonts w:ascii="Calibri" w:hAnsi="Calibri"/>
                <w:b/>
                <w:color w:val="FFFFFF"/>
                <w:sz w:val="19"/>
              </w:rPr>
              <w:t>Execution Run 1</w:t>
            </w:r>
          </w:p>
        </w:tc>
        <w:tc>
          <w:tcPr>
            <w:tcW w:type="dxa" w:w="2448"/>
            <w:shd w:fill="1B365D"/>
            <w:tcMar>
              <w:top w:w="80" w:type="dxa"/>
              <w:bottom w:w="80" w:type="dxa"/>
              <w:left w:w="100" w:type="dxa"/>
              <w:right w:w="100" w:type="dxa"/>
            </w:tcMar>
          </w:tcPr>
          <w:p>
            <w:pPr>
              <w:jc w:val="left"/>
            </w:pPr>
            <w:r>
              <w:rPr>
                <w:rFonts w:ascii="Calibri" w:hAnsi="Calibri"/>
                <w:b/>
                <w:color w:val="FFFFFF"/>
                <w:sz w:val="19"/>
              </w:rPr>
              <w:t>Execution Run 2</w:t>
            </w:r>
          </w:p>
        </w:tc>
        <w:tc>
          <w:tcPr>
            <w:tcW w:type="dxa" w:w="2448"/>
            <w:shd w:fill="1B365D"/>
            <w:tcMar>
              <w:top w:w="80" w:type="dxa"/>
              <w:bottom w:w="80" w:type="dxa"/>
              <w:left w:w="100" w:type="dxa"/>
              <w:right w:w="100" w:type="dxa"/>
            </w:tcMar>
          </w:tcPr>
          <w:p>
            <w:pPr>
              <w:jc w:val="left"/>
            </w:pPr>
            <w:r>
              <w:rPr>
                <w:rFonts w:ascii="Calibri" w:hAnsi="Calibri"/>
                <w:b/>
                <w:color w:val="FFFFFF"/>
                <w:sz w:val="19"/>
              </w:rPr>
              <w:t>Execution Run 3</w:t>
            </w:r>
          </w:p>
        </w:tc>
      </w:tr>
      <w:tr>
        <w:tc>
          <w:tcPr>
            <w:tcW w:type="dxa" w:w="2448"/>
            <w:shd w:fill="F9FAFC"/>
            <w:tcMar>
              <w:top w:w="60" w:type="dxa"/>
              <w:bottom w:w="60" w:type="dxa"/>
              <w:left w:w="90" w:type="dxa"/>
              <w:right w:w="90" w:type="dxa"/>
            </w:tcMar>
          </w:tcPr>
          <w:p>
            <w:pPr>
              <w:spacing w:after="0"/>
            </w:pPr>
            <w:r>
              <w:rPr>
                <w:rFonts w:ascii="Calibri" w:hAnsi="Calibri"/>
                <w:b/>
                <w:color w:val="1B365D"/>
                <w:sz w:val="18"/>
              </w:rPr>
              <w:t>Session Timestamp</w:t>
            </w:r>
          </w:p>
        </w:tc>
        <w:tc>
          <w:tcPr>
            <w:tcW w:type="dxa" w:w="2448"/>
            <w:shd w:fill="F9FAFC"/>
            <w:tcMar>
              <w:top w:w="60" w:type="dxa"/>
              <w:bottom w:w="60" w:type="dxa"/>
              <w:left w:w="90" w:type="dxa"/>
              <w:right w:w="90" w:type="dxa"/>
            </w:tcMar>
          </w:tcPr>
          <w:p>
            <w:pPr>
              <w:spacing w:after="0"/>
            </w:pPr>
            <w:r>
              <w:rPr>
                <w:rFonts w:ascii="Calibri" w:hAnsi="Calibri"/>
                <w:color w:val="222222"/>
                <w:sz w:val="18"/>
              </w:rPr>
              <w:t>12:09:30 IST</w:t>
            </w:r>
          </w:p>
        </w:tc>
        <w:tc>
          <w:tcPr>
            <w:tcW w:type="dxa" w:w="2448"/>
            <w:shd w:fill="F9FAFC"/>
            <w:tcMar>
              <w:top w:w="60" w:type="dxa"/>
              <w:bottom w:w="60" w:type="dxa"/>
              <w:left w:w="90" w:type="dxa"/>
              <w:right w:w="90" w:type="dxa"/>
            </w:tcMar>
          </w:tcPr>
          <w:p>
            <w:pPr>
              <w:spacing w:after="0"/>
            </w:pPr>
            <w:r>
              <w:rPr>
                <w:rFonts w:ascii="Calibri" w:hAnsi="Calibri"/>
                <w:color w:val="222222"/>
                <w:sz w:val="18"/>
              </w:rPr>
              <w:t>12:16:49 IST</w:t>
            </w:r>
          </w:p>
        </w:tc>
        <w:tc>
          <w:tcPr>
            <w:tcW w:type="dxa" w:w="2448"/>
            <w:shd w:fill="F9FAFC"/>
            <w:tcMar>
              <w:top w:w="60" w:type="dxa"/>
              <w:bottom w:w="60" w:type="dxa"/>
              <w:left w:w="90" w:type="dxa"/>
              <w:right w:w="90" w:type="dxa"/>
            </w:tcMar>
          </w:tcPr>
          <w:p>
            <w:pPr>
              <w:spacing w:after="0"/>
            </w:pPr>
            <w:r>
              <w:rPr>
                <w:rFonts w:ascii="Calibri" w:hAnsi="Calibri"/>
                <w:color w:val="222222"/>
                <w:sz w:val="18"/>
              </w:rPr>
              <w:t>12:18:46 IST</w:t>
            </w:r>
          </w:p>
        </w:tc>
      </w:tr>
      <w:tr>
        <w:tc>
          <w:tcPr>
            <w:tcW w:type="dxa" w:w="2448"/>
            <w:shd w:fill="FFFFFF"/>
            <w:tcMar>
              <w:top w:w="60" w:type="dxa"/>
              <w:bottom w:w="60" w:type="dxa"/>
              <w:left w:w="90" w:type="dxa"/>
              <w:right w:w="90" w:type="dxa"/>
            </w:tcMar>
          </w:tcPr>
          <w:p>
            <w:pPr>
              <w:spacing w:after="0"/>
            </w:pPr>
            <w:r>
              <w:rPr>
                <w:rFonts w:ascii="Calibri" w:hAnsi="Calibri"/>
                <w:b/>
                <w:color w:val="1B365D"/>
                <w:sz w:val="18"/>
              </w:rPr>
              <w:t>Parsed Text Segments</w:t>
            </w:r>
          </w:p>
        </w:tc>
        <w:tc>
          <w:tcPr>
            <w:tcW w:type="dxa" w:w="2448"/>
            <w:shd w:fill="FFFFFF"/>
            <w:tcMar>
              <w:top w:w="60" w:type="dxa"/>
              <w:bottom w:w="60" w:type="dxa"/>
              <w:left w:w="90" w:type="dxa"/>
              <w:right w:w="90" w:type="dxa"/>
            </w:tcMar>
          </w:tcPr>
          <w:p>
            <w:pPr>
              <w:spacing w:after="0"/>
            </w:pPr>
            <w:r>
              <w:rPr>
                <w:rFonts w:ascii="Calibri" w:hAnsi="Calibri"/>
                <w:color w:val="222222"/>
                <w:sz w:val="18"/>
              </w:rPr>
              <w:t>120 segments (5,719 ch)</w:t>
            </w:r>
          </w:p>
        </w:tc>
        <w:tc>
          <w:tcPr>
            <w:tcW w:type="dxa" w:w="2448"/>
            <w:shd w:fill="FFFFFF"/>
            <w:tcMar>
              <w:top w:w="60" w:type="dxa"/>
              <w:bottom w:w="60" w:type="dxa"/>
              <w:left w:w="90" w:type="dxa"/>
              <w:right w:w="90" w:type="dxa"/>
            </w:tcMar>
          </w:tcPr>
          <w:p>
            <w:pPr>
              <w:spacing w:after="0"/>
            </w:pPr>
            <w:r>
              <w:rPr>
                <w:rFonts w:ascii="Calibri" w:hAnsi="Calibri"/>
                <w:color w:val="222222"/>
                <w:sz w:val="18"/>
              </w:rPr>
              <w:t>120 segments (5,719 ch)</w:t>
            </w:r>
          </w:p>
        </w:tc>
        <w:tc>
          <w:tcPr>
            <w:tcW w:type="dxa" w:w="2448"/>
            <w:shd w:fill="FFFFFF"/>
            <w:tcMar>
              <w:top w:w="60" w:type="dxa"/>
              <w:bottom w:w="60" w:type="dxa"/>
              <w:left w:w="90" w:type="dxa"/>
              <w:right w:w="90" w:type="dxa"/>
            </w:tcMar>
          </w:tcPr>
          <w:p>
            <w:pPr>
              <w:spacing w:after="0"/>
            </w:pPr>
            <w:r>
              <w:rPr>
                <w:rFonts w:ascii="Calibri" w:hAnsi="Calibri"/>
                <w:color w:val="222222"/>
                <w:sz w:val="18"/>
              </w:rPr>
              <w:t>120 segments (5,719 ch)</w:t>
            </w:r>
          </w:p>
        </w:tc>
      </w:tr>
      <w:tr>
        <w:tc>
          <w:tcPr>
            <w:tcW w:type="dxa" w:w="2448"/>
            <w:shd w:fill="F9FAFC"/>
            <w:tcMar>
              <w:top w:w="60" w:type="dxa"/>
              <w:bottom w:w="60" w:type="dxa"/>
              <w:left w:w="90" w:type="dxa"/>
              <w:right w:w="90" w:type="dxa"/>
            </w:tcMar>
          </w:tcPr>
          <w:p>
            <w:pPr>
              <w:spacing w:after="0"/>
            </w:pPr>
            <w:r>
              <w:rPr>
                <w:rFonts w:ascii="Calibri" w:hAnsi="Calibri"/>
                <w:b/>
                <w:color w:val="1B365D"/>
                <w:sz w:val="18"/>
              </w:rPr>
              <w:t>Triage Classifier Model</w:t>
            </w:r>
          </w:p>
        </w:tc>
        <w:tc>
          <w:tcPr>
            <w:tcW w:type="dxa" w:w="2448"/>
            <w:shd w:fill="F9FAFC"/>
            <w:tcMar>
              <w:top w:w="60" w:type="dxa"/>
              <w:bottom w:w="60" w:type="dxa"/>
              <w:left w:w="90" w:type="dxa"/>
              <w:right w:w="90" w:type="dxa"/>
            </w:tcMar>
          </w:tcPr>
          <w:p>
            <w:pPr>
              <w:spacing w:after="0"/>
            </w:pPr>
            <w:r>
              <w:rPr>
                <w:rFonts w:ascii="Calibri" w:hAnsi="Calibri"/>
                <w:color w:val="222222"/>
                <w:sz w:val="18"/>
              </w:rPr>
              <w:t>gemini-2.5-flash</w:t>
            </w:r>
          </w:p>
        </w:tc>
        <w:tc>
          <w:tcPr>
            <w:tcW w:type="dxa" w:w="2448"/>
            <w:shd w:fill="F9FAFC"/>
            <w:tcMar>
              <w:top w:w="60" w:type="dxa"/>
              <w:bottom w:w="60" w:type="dxa"/>
              <w:left w:w="90" w:type="dxa"/>
              <w:right w:w="90" w:type="dxa"/>
            </w:tcMar>
          </w:tcPr>
          <w:p>
            <w:pPr>
              <w:spacing w:after="0"/>
            </w:pPr>
            <w:r>
              <w:rPr>
                <w:rFonts w:ascii="Calibri" w:hAnsi="Calibri"/>
                <w:color w:val="222222"/>
                <w:sz w:val="18"/>
              </w:rPr>
              <w:t>gemini-2.5-flash</w:t>
            </w:r>
          </w:p>
        </w:tc>
        <w:tc>
          <w:tcPr>
            <w:tcW w:type="dxa" w:w="2448"/>
            <w:shd w:fill="F9FAFC"/>
            <w:tcMar>
              <w:top w:w="60" w:type="dxa"/>
              <w:bottom w:w="60" w:type="dxa"/>
              <w:left w:w="90" w:type="dxa"/>
              <w:right w:w="90" w:type="dxa"/>
            </w:tcMar>
          </w:tcPr>
          <w:p>
            <w:pPr>
              <w:spacing w:after="0"/>
            </w:pPr>
            <w:r>
              <w:rPr>
                <w:rFonts w:ascii="Calibri" w:hAnsi="Calibri"/>
                <w:color w:val="222222"/>
                <w:sz w:val="18"/>
              </w:rPr>
              <w:t>gemini-2.5-flash</w:t>
            </w:r>
          </w:p>
        </w:tc>
      </w:tr>
      <w:tr>
        <w:tc>
          <w:tcPr>
            <w:tcW w:type="dxa" w:w="2448"/>
            <w:shd w:fill="FFFFFF"/>
            <w:tcMar>
              <w:top w:w="60" w:type="dxa"/>
              <w:bottom w:w="60" w:type="dxa"/>
              <w:left w:w="90" w:type="dxa"/>
              <w:right w:w="90" w:type="dxa"/>
            </w:tcMar>
          </w:tcPr>
          <w:p>
            <w:pPr>
              <w:spacing w:after="0"/>
            </w:pPr>
            <w:r>
              <w:rPr>
                <w:rFonts w:ascii="Calibri" w:hAnsi="Calibri"/>
                <w:b/>
                <w:color w:val="1B365D"/>
                <w:sz w:val="18"/>
              </w:rPr>
              <w:t>Triage Classification</w:t>
            </w:r>
          </w:p>
        </w:tc>
        <w:tc>
          <w:tcPr>
            <w:tcW w:type="dxa" w:w="2448"/>
            <w:shd w:fill="FFFFFF"/>
            <w:tcMar>
              <w:top w:w="60" w:type="dxa"/>
              <w:bottom w:w="60" w:type="dxa"/>
              <w:left w:w="90" w:type="dxa"/>
              <w:right w:w="90" w:type="dxa"/>
            </w:tcMar>
          </w:tcPr>
          <w:p>
            <w:pPr>
              <w:spacing w:after="0"/>
            </w:pPr>
            <w:r>
              <w:rPr>
                <w:rFonts w:ascii="Calibri" w:hAnsi="Calibri"/>
                <w:color w:val="222222"/>
                <w:sz w:val="18"/>
              </w:rPr>
              <w:t>COMMAND (Pure PS)</w:t>
            </w:r>
          </w:p>
        </w:tc>
        <w:tc>
          <w:tcPr>
            <w:tcW w:type="dxa" w:w="2448"/>
            <w:shd w:fill="FFFFFF"/>
            <w:tcMar>
              <w:top w:w="60" w:type="dxa"/>
              <w:bottom w:w="60" w:type="dxa"/>
              <w:left w:w="90" w:type="dxa"/>
              <w:right w:w="90" w:type="dxa"/>
            </w:tcMar>
          </w:tcPr>
          <w:p>
            <w:pPr>
              <w:spacing w:after="0"/>
            </w:pPr>
            <w:r>
              <w:rPr>
                <w:rFonts w:ascii="Calibri" w:hAnsi="Calibri"/>
                <w:color w:val="222222"/>
                <w:sz w:val="18"/>
              </w:rPr>
              <w:t>COMMAND (Pure PS)</w:t>
            </w:r>
          </w:p>
        </w:tc>
        <w:tc>
          <w:tcPr>
            <w:tcW w:type="dxa" w:w="2448"/>
            <w:shd w:fill="FFFFFF"/>
            <w:tcMar>
              <w:top w:w="60" w:type="dxa"/>
              <w:bottom w:w="60" w:type="dxa"/>
              <w:left w:w="90" w:type="dxa"/>
              <w:right w:w="90" w:type="dxa"/>
            </w:tcMar>
          </w:tcPr>
          <w:p>
            <w:pPr>
              <w:spacing w:after="0"/>
            </w:pPr>
            <w:r>
              <w:rPr>
                <w:rFonts w:ascii="Calibri" w:hAnsi="Calibri"/>
                <w:color w:val="222222"/>
                <w:sz w:val="18"/>
              </w:rPr>
              <w:t>COMMAND (Pure PS)</w:t>
            </w:r>
          </w:p>
        </w:tc>
      </w:tr>
      <w:tr>
        <w:tc>
          <w:tcPr>
            <w:tcW w:type="dxa" w:w="2448"/>
            <w:shd w:fill="F9FAFC"/>
            <w:tcMar>
              <w:top w:w="60" w:type="dxa"/>
              <w:bottom w:w="60" w:type="dxa"/>
              <w:left w:w="90" w:type="dxa"/>
              <w:right w:w="90" w:type="dxa"/>
            </w:tcMar>
          </w:tcPr>
          <w:p>
            <w:pPr>
              <w:spacing w:after="0"/>
            </w:pPr>
            <w:r>
              <w:rPr>
                <w:rFonts w:ascii="Calibri" w:hAnsi="Calibri"/>
                <w:b/>
                <w:color w:val="1B365D"/>
                <w:sz w:val="18"/>
              </w:rPr>
              <w:t>Triage Confidence</w:t>
            </w:r>
          </w:p>
        </w:tc>
        <w:tc>
          <w:tcPr>
            <w:tcW w:type="dxa" w:w="2448"/>
            <w:shd w:fill="F9FAFC"/>
            <w:tcMar>
              <w:top w:w="60" w:type="dxa"/>
              <w:bottom w:w="60" w:type="dxa"/>
              <w:left w:w="90" w:type="dxa"/>
              <w:right w:w="90" w:type="dxa"/>
            </w:tcMar>
          </w:tcPr>
          <w:p>
            <w:pPr>
              <w:spacing w:after="0"/>
            </w:pPr>
            <w:r>
              <w:rPr>
                <w:rFonts w:ascii="Calibri" w:hAnsi="Calibri"/>
                <w:color w:val="222222"/>
                <w:sz w:val="18"/>
              </w:rPr>
              <w:t>0.99 (High)</w:t>
            </w:r>
          </w:p>
        </w:tc>
        <w:tc>
          <w:tcPr>
            <w:tcW w:type="dxa" w:w="2448"/>
            <w:shd w:fill="F9FAFC"/>
            <w:tcMar>
              <w:top w:w="60" w:type="dxa"/>
              <w:bottom w:w="60" w:type="dxa"/>
              <w:left w:w="90" w:type="dxa"/>
              <w:right w:w="90" w:type="dxa"/>
            </w:tcMar>
          </w:tcPr>
          <w:p>
            <w:pPr>
              <w:spacing w:after="0"/>
            </w:pPr>
            <w:r>
              <w:rPr>
                <w:rFonts w:ascii="Calibri" w:hAnsi="Calibri"/>
                <w:color w:val="222222"/>
                <w:sz w:val="18"/>
              </w:rPr>
              <w:t>0.98 (High)</w:t>
            </w:r>
          </w:p>
        </w:tc>
        <w:tc>
          <w:tcPr>
            <w:tcW w:type="dxa" w:w="2448"/>
            <w:shd w:fill="F9FAFC"/>
            <w:tcMar>
              <w:top w:w="60" w:type="dxa"/>
              <w:bottom w:w="60" w:type="dxa"/>
              <w:left w:w="90" w:type="dxa"/>
              <w:right w:w="90" w:type="dxa"/>
            </w:tcMar>
          </w:tcPr>
          <w:p>
            <w:pPr>
              <w:spacing w:after="0"/>
            </w:pPr>
            <w:r>
              <w:rPr>
                <w:rFonts w:ascii="Calibri" w:hAnsi="Calibri"/>
                <w:color w:val="222222"/>
                <w:sz w:val="18"/>
              </w:rPr>
              <w:t>0.99 (High)</w:t>
            </w:r>
          </w:p>
        </w:tc>
      </w:tr>
      <w:tr>
        <w:tc>
          <w:tcPr>
            <w:tcW w:type="dxa" w:w="2448"/>
            <w:shd w:fill="FFFFFF"/>
            <w:tcMar>
              <w:top w:w="60" w:type="dxa"/>
              <w:bottom w:w="60" w:type="dxa"/>
              <w:left w:w="90" w:type="dxa"/>
              <w:right w:w="90" w:type="dxa"/>
            </w:tcMar>
          </w:tcPr>
          <w:p>
            <w:pPr>
              <w:spacing w:after="0"/>
            </w:pPr>
            <w:r>
              <w:rPr>
                <w:rFonts w:ascii="Calibri" w:hAnsi="Calibri"/>
                <w:b/>
                <w:color w:val="1B365D"/>
                <w:sz w:val="18"/>
              </w:rPr>
              <w:t>Converter Model</w:t>
            </w:r>
          </w:p>
        </w:tc>
        <w:tc>
          <w:tcPr>
            <w:tcW w:type="dxa" w:w="2448"/>
            <w:shd w:fill="FFFFFF"/>
            <w:tcMar>
              <w:top w:w="60" w:type="dxa"/>
              <w:bottom w:w="60" w:type="dxa"/>
              <w:left w:w="90" w:type="dxa"/>
              <w:right w:w="90" w:type="dxa"/>
            </w:tcMar>
          </w:tcPr>
          <w:p>
            <w:pPr>
              <w:spacing w:after="0"/>
            </w:pPr>
            <w:r>
              <w:rPr>
                <w:rFonts w:ascii="Calibri" w:hAnsi="Calibri"/>
                <w:color w:val="222222"/>
                <w:sz w:val="18"/>
              </w:rPr>
              <w:t>gemini-2.5-flash</w:t>
            </w:r>
          </w:p>
        </w:tc>
        <w:tc>
          <w:tcPr>
            <w:tcW w:type="dxa" w:w="2448"/>
            <w:shd w:fill="FFFFFF"/>
            <w:tcMar>
              <w:top w:w="60" w:type="dxa"/>
              <w:bottom w:w="60" w:type="dxa"/>
              <w:left w:w="90" w:type="dxa"/>
              <w:right w:w="90" w:type="dxa"/>
            </w:tcMar>
          </w:tcPr>
          <w:p>
            <w:pPr>
              <w:spacing w:after="0"/>
            </w:pPr>
            <w:r>
              <w:rPr>
                <w:rFonts w:ascii="Calibri" w:hAnsi="Calibri"/>
                <w:color w:val="222222"/>
                <w:sz w:val="18"/>
              </w:rPr>
              <w:t>gemini-2.5-flash</w:t>
            </w:r>
          </w:p>
        </w:tc>
        <w:tc>
          <w:tcPr>
            <w:tcW w:type="dxa" w:w="2448"/>
            <w:shd w:fill="FFFFFF"/>
            <w:tcMar>
              <w:top w:w="60" w:type="dxa"/>
              <w:bottom w:w="60" w:type="dxa"/>
              <w:left w:w="90" w:type="dxa"/>
              <w:right w:w="90" w:type="dxa"/>
            </w:tcMar>
          </w:tcPr>
          <w:p>
            <w:pPr>
              <w:spacing w:after="0"/>
            </w:pPr>
            <w:r>
              <w:rPr>
                <w:rFonts w:ascii="Calibri" w:hAnsi="Calibri"/>
                <w:color w:val="222222"/>
                <w:sz w:val="18"/>
              </w:rPr>
              <w:t>gemini-2.5-flash</w:t>
            </w:r>
          </w:p>
        </w:tc>
      </w:tr>
      <w:tr>
        <w:tc>
          <w:tcPr>
            <w:tcW w:type="dxa" w:w="2448"/>
            <w:shd w:fill="F9FAFC"/>
            <w:tcMar>
              <w:top w:w="60" w:type="dxa"/>
              <w:bottom w:w="60" w:type="dxa"/>
              <w:left w:w="90" w:type="dxa"/>
              <w:right w:w="90" w:type="dxa"/>
            </w:tcMar>
          </w:tcPr>
          <w:p>
            <w:pPr>
              <w:spacing w:after="0"/>
            </w:pPr>
            <w:r>
              <w:rPr>
                <w:rFonts w:ascii="Calibri" w:hAnsi="Calibri"/>
                <w:b/>
                <w:color w:val="1B365D"/>
                <w:sz w:val="18"/>
              </w:rPr>
              <w:t>Generated Steps Count</w:t>
            </w:r>
          </w:p>
        </w:tc>
        <w:tc>
          <w:tcPr>
            <w:tcW w:type="dxa" w:w="2448"/>
            <w:shd w:fill="F9FAFC"/>
            <w:tcMar>
              <w:top w:w="60" w:type="dxa"/>
              <w:bottom w:w="60" w:type="dxa"/>
              <w:left w:w="90" w:type="dxa"/>
              <w:right w:w="90" w:type="dxa"/>
            </w:tcMar>
          </w:tcPr>
          <w:p>
            <w:pPr>
              <w:spacing w:after="0"/>
            </w:pPr>
            <w:r>
              <w:rPr>
                <w:rFonts w:ascii="Calibri" w:hAnsi="Calibri"/>
                <w:color w:val="222222"/>
                <w:sz w:val="18"/>
              </w:rPr>
              <w:t>5 Steps</w:t>
            </w:r>
          </w:p>
        </w:tc>
        <w:tc>
          <w:tcPr>
            <w:tcW w:type="dxa" w:w="2448"/>
            <w:shd w:fill="F9FAFC"/>
            <w:tcMar>
              <w:top w:w="60" w:type="dxa"/>
              <w:bottom w:w="60" w:type="dxa"/>
              <w:left w:w="90" w:type="dxa"/>
              <w:right w:w="90" w:type="dxa"/>
            </w:tcMar>
          </w:tcPr>
          <w:p>
            <w:pPr>
              <w:spacing w:after="0"/>
            </w:pPr>
            <w:r>
              <w:rPr>
                <w:rFonts w:ascii="Calibri" w:hAnsi="Calibri"/>
                <w:color w:val="222222"/>
                <w:sz w:val="18"/>
              </w:rPr>
              <w:t>5 Steps</w:t>
            </w:r>
          </w:p>
        </w:tc>
        <w:tc>
          <w:tcPr>
            <w:tcW w:type="dxa" w:w="2448"/>
            <w:shd w:fill="F9FAFC"/>
            <w:tcMar>
              <w:top w:w="60" w:type="dxa"/>
              <w:bottom w:w="60" w:type="dxa"/>
              <w:left w:w="90" w:type="dxa"/>
              <w:right w:w="90" w:type="dxa"/>
            </w:tcMar>
          </w:tcPr>
          <w:p>
            <w:pPr>
              <w:spacing w:after="0"/>
            </w:pPr>
            <w:r>
              <w:rPr>
                <w:rFonts w:ascii="Calibri" w:hAnsi="Calibri"/>
                <w:color w:val="222222"/>
                <w:sz w:val="18"/>
              </w:rPr>
              <w:t>5 Steps</w:t>
            </w:r>
          </w:p>
        </w:tc>
      </w:tr>
      <w:tr>
        <w:tc>
          <w:tcPr>
            <w:tcW w:type="dxa" w:w="2448"/>
            <w:shd w:fill="FFFFFF"/>
            <w:tcMar>
              <w:top w:w="60" w:type="dxa"/>
              <w:bottom w:w="60" w:type="dxa"/>
              <w:left w:w="90" w:type="dxa"/>
              <w:right w:w="90" w:type="dxa"/>
            </w:tcMar>
          </w:tcPr>
          <w:p>
            <w:pPr>
              <w:spacing w:after="0"/>
            </w:pPr>
            <w:r>
              <w:rPr>
                <w:rFonts w:ascii="Calibri" w:hAnsi="Calibri"/>
                <w:b/>
                <w:color w:val="1B365D"/>
                <w:sz w:val="18"/>
              </w:rPr>
              <w:t>Validation Model Config</w:t>
            </w:r>
          </w:p>
        </w:tc>
        <w:tc>
          <w:tcPr>
            <w:tcW w:type="dxa" w:w="2448"/>
            <w:shd w:fill="FFFFFF"/>
            <w:tcMar>
              <w:top w:w="60" w:type="dxa"/>
              <w:bottom w:w="60" w:type="dxa"/>
              <w:left w:w="90" w:type="dxa"/>
              <w:right w:w="90" w:type="dxa"/>
            </w:tcMar>
          </w:tcPr>
          <w:p>
            <w:pPr>
              <w:spacing w:after="0"/>
            </w:pPr>
            <w:r>
              <w:rPr>
                <w:rFonts w:ascii="Calibri" w:hAnsi="Calibri"/>
                <w:color w:val="222222"/>
                <w:sz w:val="18"/>
              </w:rPr>
              <w:t>mistral-large-latest</w:t>
            </w:r>
          </w:p>
        </w:tc>
        <w:tc>
          <w:tcPr>
            <w:tcW w:type="dxa" w:w="2448"/>
            <w:shd w:fill="FFFFFF"/>
            <w:tcMar>
              <w:top w:w="60" w:type="dxa"/>
              <w:bottom w:w="60" w:type="dxa"/>
              <w:left w:w="90" w:type="dxa"/>
              <w:right w:w="90" w:type="dxa"/>
            </w:tcMar>
          </w:tcPr>
          <w:p>
            <w:pPr>
              <w:spacing w:after="0"/>
            </w:pPr>
            <w:r>
              <w:rPr>
                <w:rFonts w:ascii="Calibri" w:hAnsi="Calibri"/>
                <w:color w:val="222222"/>
                <w:sz w:val="18"/>
              </w:rPr>
              <w:t>mistral-small-latest</w:t>
            </w:r>
          </w:p>
        </w:tc>
        <w:tc>
          <w:tcPr>
            <w:tcW w:type="dxa" w:w="2448"/>
            <w:shd w:fill="FFFFFF"/>
            <w:tcMar>
              <w:top w:w="60" w:type="dxa"/>
              <w:bottom w:w="60" w:type="dxa"/>
              <w:left w:w="90" w:type="dxa"/>
              <w:right w:w="90" w:type="dxa"/>
            </w:tcMar>
          </w:tcPr>
          <w:p>
            <w:pPr>
              <w:spacing w:after="0"/>
            </w:pPr>
            <w:r>
              <w:rPr>
                <w:rFonts w:ascii="Calibri" w:hAnsi="Calibri"/>
                <w:color w:val="222222"/>
                <w:sz w:val="18"/>
              </w:rPr>
              <w:t>mistral-small-latest</w:t>
            </w:r>
          </w:p>
        </w:tc>
      </w:tr>
      <w:tr>
        <w:tc>
          <w:tcPr>
            <w:tcW w:type="dxa" w:w="2448"/>
            <w:shd w:fill="F9FAFC"/>
            <w:tcMar>
              <w:top w:w="60" w:type="dxa"/>
              <w:bottom w:w="60" w:type="dxa"/>
              <w:left w:w="90" w:type="dxa"/>
              <w:right w:w="90" w:type="dxa"/>
            </w:tcMar>
          </w:tcPr>
          <w:p>
            <w:pPr>
              <w:spacing w:after="0"/>
            </w:pPr>
            <w:r>
              <w:rPr>
                <w:rFonts w:ascii="Calibri" w:hAnsi="Calibri"/>
                <w:b/>
                <w:color w:val="1B365D"/>
                <w:sz w:val="18"/>
              </w:rPr>
              <w:t>Validation Layer 2 Outcome</w:t>
            </w:r>
          </w:p>
        </w:tc>
        <w:tc>
          <w:tcPr>
            <w:tcW w:type="dxa" w:w="2448"/>
            <w:shd w:fill="F9FAFC"/>
            <w:tcMar>
              <w:top w:w="60" w:type="dxa"/>
              <w:bottom w:w="60" w:type="dxa"/>
              <w:left w:w="90" w:type="dxa"/>
              <w:right w:w="90" w:type="dxa"/>
            </w:tcMar>
          </w:tcPr>
          <w:p>
            <w:pPr>
              <w:spacing w:after="0"/>
            </w:pPr>
            <w:r>
              <w:rPr>
                <w:rFonts w:ascii="Calibri" w:hAnsi="Calibri"/>
                <w:color w:val="222222"/>
                <w:sz w:val="18"/>
              </w:rPr>
              <w:t>HTTP 403 → Fallback Passed</w:t>
            </w:r>
          </w:p>
        </w:tc>
        <w:tc>
          <w:tcPr>
            <w:tcW w:type="dxa" w:w="2448"/>
            <w:shd w:fill="F9FAFC"/>
            <w:tcMar>
              <w:top w:w="60" w:type="dxa"/>
              <w:bottom w:w="60" w:type="dxa"/>
              <w:left w:w="90" w:type="dxa"/>
              <w:right w:w="90" w:type="dxa"/>
            </w:tcMar>
          </w:tcPr>
          <w:p>
            <w:pPr>
              <w:spacing w:after="0"/>
            </w:pPr>
            <w:r>
              <w:rPr>
                <w:rFonts w:ascii="Calibri" w:hAnsi="Calibri"/>
                <w:color w:val="222222"/>
                <w:sz w:val="18"/>
              </w:rPr>
              <w:t>PASSED (2.28s)</w:t>
            </w:r>
          </w:p>
        </w:tc>
        <w:tc>
          <w:tcPr>
            <w:tcW w:type="dxa" w:w="2448"/>
            <w:shd w:fill="F9FAFC"/>
            <w:tcMar>
              <w:top w:w="60" w:type="dxa"/>
              <w:bottom w:w="60" w:type="dxa"/>
              <w:left w:w="90" w:type="dxa"/>
              <w:right w:w="90" w:type="dxa"/>
            </w:tcMar>
          </w:tcPr>
          <w:p>
            <w:pPr>
              <w:spacing w:after="0"/>
            </w:pPr>
            <w:r>
              <w:rPr>
                <w:rFonts w:ascii="Calibri" w:hAnsi="Calibri"/>
                <w:color w:val="222222"/>
                <w:sz w:val="18"/>
              </w:rPr>
              <w:t>PASSED (2.37s)</w:t>
            </w:r>
          </w:p>
        </w:tc>
      </w:tr>
      <w:tr>
        <w:tc>
          <w:tcPr>
            <w:tcW w:type="dxa" w:w="2448"/>
            <w:shd w:fill="FFFFFF"/>
            <w:tcMar>
              <w:top w:w="60" w:type="dxa"/>
              <w:bottom w:w="60" w:type="dxa"/>
              <w:left w:w="90" w:type="dxa"/>
              <w:right w:w="90" w:type="dxa"/>
            </w:tcMar>
          </w:tcPr>
          <w:p>
            <w:pPr>
              <w:spacing w:after="0"/>
            </w:pPr>
            <w:r>
              <w:rPr>
                <w:rFonts w:ascii="Calibri" w:hAnsi="Calibri"/>
                <w:b/>
                <w:color w:val="1B365D"/>
                <w:sz w:val="18"/>
              </w:rPr>
              <w:t>Validation Confidence</w:t>
            </w:r>
          </w:p>
        </w:tc>
        <w:tc>
          <w:tcPr>
            <w:tcW w:type="dxa" w:w="2448"/>
            <w:shd w:fill="FFFFFF"/>
            <w:tcMar>
              <w:top w:w="60" w:type="dxa"/>
              <w:bottom w:w="60" w:type="dxa"/>
              <w:left w:w="90" w:type="dxa"/>
              <w:right w:w="90" w:type="dxa"/>
            </w:tcMar>
          </w:tcPr>
          <w:p>
            <w:pPr>
              <w:spacing w:after="0"/>
            </w:pPr>
            <w:r>
              <w:rPr>
                <w:rFonts w:ascii="Calibri" w:hAnsi="Calibri"/>
                <w:color w:val="222222"/>
                <w:sz w:val="18"/>
              </w:rPr>
              <w:t>0.98 (High)</w:t>
            </w:r>
          </w:p>
        </w:tc>
        <w:tc>
          <w:tcPr>
            <w:tcW w:type="dxa" w:w="2448"/>
            <w:shd w:fill="FFFFFF"/>
            <w:tcMar>
              <w:top w:w="60" w:type="dxa"/>
              <w:bottom w:w="60" w:type="dxa"/>
              <w:left w:w="90" w:type="dxa"/>
              <w:right w:w="90" w:type="dxa"/>
            </w:tcMar>
          </w:tcPr>
          <w:p>
            <w:pPr>
              <w:spacing w:after="0"/>
            </w:pPr>
            <w:r>
              <w:rPr>
                <w:rFonts w:ascii="Calibri" w:hAnsi="Calibri"/>
                <w:color w:val="222222"/>
                <w:sz w:val="18"/>
              </w:rPr>
              <w:t>0.98 (High)</w:t>
            </w:r>
          </w:p>
        </w:tc>
        <w:tc>
          <w:tcPr>
            <w:tcW w:type="dxa" w:w="2448"/>
            <w:shd w:fill="FFFFFF"/>
            <w:tcMar>
              <w:top w:w="60" w:type="dxa"/>
              <w:bottom w:w="60" w:type="dxa"/>
              <w:left w:w="90" w:type="dxa"/>
              <w:right w:w="90" w:type="dxa"/>
            </w:tcMar>
          </w:tcPr>
          <w:p>
            <w:pPr>
              <w:spacing w:after="0"/>
            </w:pPr>
            <w:r>
              <w:rPr>
                <w:rFonts w:ascii="Calibri" w:hAnsi="Calibri"/>
                <w:color w:val="222222"/>
                <w:sz w:val="18"/>
              </w:rPr>
              <w:t>0.98 (High)</w:t>
            </w:r>
          </w:p>
        </w:tc>
      </w:tr>
      <w:tr>
        <w:tc>
          <w:tcPr>
            <w:tcW w:type="dxa" w:w="2448"/>
            <w:shd w:fill="F9FAFC"/>
            <w:tcMar>
              <w:top w:w="60" w:type="dxa"/>
              <w:bottom w:w="60" w:type="dxa"/>
              <w:left w:w="90" w:type="dxa"/>
              <w:right w:w="90" w:type="dxa"/>
            </w:tcMar>
          </w:tcPr>
          <w:p>
            <w:pPr>
              <w:spacing w:after="0"/>
            </w:pPr>
            <w:r>
              <w:rPr>
                <w:rFonts w:ascii="Calibri" w:hAnsi="Calibri"/>
                <w:b/>
                <w:color w:val="1B365D"/>
                <w:sz w:val="18"/>
              </w:rPr>
              <w:t>Total Tokens Consumed</w:t>
            </w:r>
          </w:p>
        </w:tc>
        <w:tc>
          <w:tcPr>
            <w:tcW w:type="dxa" w:w="2448"/>
            <w:shd w:fill="F9FAFC"/>
            <w:tcMar>
              <w:top w:w="60" w:type="dxa"/>
              <w:bottom w:w="60" w:type="dxa"/>
              <w:left w:w="90" w:type="dxa"/>
              <w:right w:w="90" w:type="dxa"/>
            </w:tcMar>
          </w:tcPr>
          <w:p>
            <w:pPr>
              <w:spacing w:after="0"/>
            </w:pPr>
            <w:r>
              <w:rPr>
                <w:rFonts w:ascii="Calibri" w:hAnsi="Calibri"/>
                <w:color w:val="222222"/>
                <w:sz w:val="18"/>
              </w:rPr>
              <w:t>10,797 tokens</w:t>
            </w:r>
          </w:p>
        </w:tc>
        <w:tc>
          <w:tcPr>
            <w:tcW w:type="dxa" w:w="2448"/>
            <w:shd w:fill="F9FAFC"/>
            <w:tcMar>
              <w:top w:w="60" w:type="dxa"/>
              <w:bottom w:w="60" w:type="dxa"/>
              <w:left w:w="90" w:type="dxa"/>
              <w:right w:w="90" w:type="dxa"/>
            </w:tcMar>
          </w:tcPr>
          <w:p>
            <w:pPr>
              <w:spacing w:after="0"/>
            </w:pPr>
            <w:r>
              <w:rPr>
                <w:rFonts w:ascii="Calibri" w:hAnsi="Calibri"/>
                <w:color w:val="222222"/>
                <w:sz w:val="18"/>
              </w:rPr>
              <w:t>14,628 tokens</w:t>
            </w:r>
          </w:p>
        </w:tc>
        <w:tc>
          <w:tcPr>
            <w:tcW w:type="dxa" w:w="2448"/>
            <w:shd w:fill="F9FAFC"/>
            <w:tcMar>
              <w:top w:w="60" w:type="dxa"/>
              <w:bottom w:w="60" w:type="dxa"/>
              <w:left w:w="90" w:type="dxa"/>
              <w:right w:w="90" w:type="dxa"/>
            </w:tcMar>
          </w:tcPr>
          <w:p>
            <w:pPr>
              <w:spacing w:after="0"/>
            </w:pPr>
            <w:r>
              <w:rPr>
                <w:rFonts w:ascii="Calibri" w:hAnsi="Calibri"/>
                <w:color w:val="222222"/>
                <w:sz w:val="18"/>
              </w:rPr>
              <w:t>14,811 tokens</w:t>
            </w:r>
          </w:p>
        </w:tc>
      </w:tr>
    </w:tbl>
    <w:p>
      <w:pPr>
        <w:spacing w:after="200"/>
      </w:pPr>
    </w:p>
    <w:p>
      <w:pPr>
        <w:pStyle w:val="Heading1"/>
        <w:spacing w:before="240" w:after="120"/>
      </w:pPr>
      <w:r>
        <w:rPr>
          <w:rFonts w:ascii="Calibri" w:hAnsi="Calibri"/>
          <w:color w:val="1B365D"/>
        </w:rPr>
        <w:t>3. Executable OKF Step Determinism Audit</w:t>
      </w:r>
    </w:p>
    <w:p>
      <w:pPr>
        <w:spacing w:after="120" w:line="276" w:lineRule="auto"/>
      </w:pPr>
      <w:r>
        <w:rPr>
          <w:sz w:val="21"/>
        </w:rPr>
        <w:t>To guarantee safe and reliable IT endpoint remediation, generated OKF playbooks must show zero semantic drift. The table below details each generated step across the three execution cycles.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448"/>
        <w:gridCol w:w="2448"/>
        <w:gridCol w:w="2448"/>
        <w:gridCol w:w="2448"/>
      </w:tblGrid>
      <w:tr>
        <w:tc>
          <w:tcPr>
            <w:tcW w:type="dxa" w:w="2448"/>
            <w:shd w:fill="2E6B9E"/>
            <w:tcMar>
              <w:top w:w="70" w:type="dxa"/>
              <w:bottom w:w="70" w:type="dxa"/>
              <w:left w:w="90" w:type="dxa"/>
              <w:right w:w="90" w:type="dxa"/>
            </w:tcMar>
          </w:tcPr>
          <w:p>
            <w:r>
              <w:rPr>
                <w:rFonts w:ascii="Calibri" w:hAnsi="Calibri"/>
                <w:b/>
                <w:color w:val="FFFFFF"/>
                <w:sz w:val="18"/>
              </w:rPr>
              <w:t>Step #</w:t>
            </w:r>
          </w:p>
        </w:tc>
        <w:tc>
          <w:tcPr>
            <w:tcW w:type="dxa" w:w="2448"/>
            <w:shd w:fill="2E6B9E"/>
            <w:tcMar>
              <w:top w:w="70" w:type="dxa"/>
              <w:bottom w:w="70" w:type="dxa"/>
              <w:left w:w="90" w:type="dxa"/>
              <w:right w:w="90" w:type="dxa"/>
            </w:tcMar>
          </w:tcPr>
          <w:p>
            <w:r>
              <w:rPr>
                <w:rFonts w:ascii="Calibri" w:hAnsi="Calibri"/>
                <w:b/>
                <w:color w:val="FFFFFF"/>
                <w:sz w:val="18"/>
              </w:rPr>
              <w:t>Purpose &amp; Reasoning</w:t>
            </w:r>
          </w:p>
        </w:tc>
        <w:tc>
          <w:tcPr>
            <w:tcW w:type="dxa" w:w="2448"/>
            <w:shd w:fill="2E6B9E"/>
            <w:tcMar>
              <w:top w:w="70" w:type="dxa"/>
              <w:bottom w:w="70" w:type="dxa"/>
              <w:left w:w="90" w:type="dxa"/>
              <w:right w:w="90" w:type="dxa"/>
            </w:tcMar>
          </w:tcPr>
          <w:p>
            <w:r>
              <w:rPr>
                <w:rFonts w:ascii="Calibri" w:hAnsi="Calibri"/>
                <w:b/>
                <w:color w:val="FFFFFF"/>
                <w:sz w:val="18"/>
              </w:rPr>
              <w:t>Executable Command &amp; Fallback</w:t>
            </w:r>
          </w:p>
        </w:tc>
        <w:tc>
          <w:tcPr>
            <w:tcW w:type="dxa" w:w="2448"/>
            <w:shd w:fill="2E6B9E"/>
            <w:tcMar>
              <w:top w:w="70" w:type="dxa"/>
              <w:bottom w:w="70" w:type="dxa"/>
              <w:left w:w="90" w:type="dxa"/>
              <w:right w:w="90" w:type="dxa"/>
            </w:tcMar>
          </w:tcPr>
          <w:p>
            <w:r>
              <w:rPr>
                <w:rFonts w:ascii="Calibri" w:hAnsi="Calibri"/>
                <w:b/>
                <w:color w:val="FFFFFF"/>
                <w:sz w:val="18"/>
              </w:rPr>
              <w:t>Variables &amp; Gating</w:t>
            </w:r>
          </w:p>
        </w:tc>
      </w:tr>
      <w:tr>
        <w:tc>
          <w:tcPr>
            <w:tcW w:type="dxa" w:w="2448"/>
            <w:shd w:fill="F9FAFC"/>
            <w:tcMar>
              <w:top w:w="60" w:type="dxa"/>
              <w:bottom w:w="60" w:type="dxa"/>
              <w:left w:w="80" w:type="dxa"/>
              <w:right w:w="80" w:type="dxa"/>
            </w:tcMar>
          </w:tcPr>
          <w:p>
            <w:r>
              <w:rPr>
                <w:b/>
                <w:color w:val="1B365D"/>
                <w:sz w:val="18"/>
              </w:rPr>
              <w:t>Step 1</w:t>
            </w:r>
          </w:p>
        </w:tc>
        <w:tc>
          <w:tcPr>
            <w:tcW w:type="dxa" w:w="2448"/>
            <w:shd w:fill="F9FAFC"/>
            <w:tcMar>
              <w:top w:w="60" w:type="dxa"/>
              <w:bottom w:w="60" w:type="dxa"/>
              <w:left w:w="80" w:type="dxa"/>
              <w:right w:w="80" w:type="dxa"/>
            </w:tcMar>
          </w:tcPr>
          <w:p>
            <w:r>
              <w:rPr>
                <w:color w:val="333333"/>
                <w:sz w:val="17"/>
              </w:rPr>
              <w:t>Verify endpoint network connectivity before remote execution.</w:t>
            </w:r>
          </w:p>
        </w:tc>
        <w:tc>
          <w:tcPr>
            <w:tcW w:type="dxa" w:w="2448"/>
            <w:shd w:fill="F9FAFC"/>
            <w:tcMar>
              <w:top w:w="60" w:type="dxa"/>
              <w:bottom w:w="60" w:type="dxa"/>
              <w:left w:w="80" w:type="dxa"/>
              <w:right w:w="80" w:type="dxa"/>
            </w:tcMar>
          </w:tcPr>
          <w:p>
            <w:r>
              <w:rPr>
                <w:rFonts w:ascii="Consolas" w:hAnsi="Consolas"/>
                <w:color w:val="004B87"/>
                <w:sz w:val="16"/>
              </w:rPr>
              <w:t>Test-Connection {{entities.hostname}} -Count 2</w:t>
            </w:r>
          </w:p>
        </w:tc>
        <w:tc>
          <w:tcPr>
            <w:tcW w:type="dxa" w:w="2448"/>
            <w:shd w:fill="F9FAFC"/>
            <w:tcMar>
              <w:top w:w="60" w:type="dxa"/>
              <w:bottom w:w="60" w:type="dxa"/>
              <w:left w:w="80" w:type="dxa"/>
              <w:right w:w="80" w:type="dxa"/>
            </w:tcMar>
          </w:tcPr>
          <w:p>
            <w:r>
              <w:rPr>
                <w:color w:val="444444"/>
                <w:sz w:val="17"/>
              </w:rPr>
              <w:t>Parse: endpoint_reachable</w:t>
              <w:br/>
              <w:t>Gate: None (Initial step)</w:t>
            </w:r>
          </w:p>
        </w:tc>
      </w:tr>
      <w:tr>
        <w:tc>
          <w:tcPr>
            <w:tcW w:type="dxa" w:w="2448"/>
            <w:shd w:fill="FFFFFF"/>
            <w:tcMar>
              <w:top w:w="60" w:type="dxa"/>
              <w:bottom w:w="60" w:type="dxa"/>
              <w:left w:w="80" w:type="dxa"/>
              <w:right w:w="80" w:type="dxa"/>
            </w:tcMar>
          </w:tcPr>
          <w:p>
            <w:r>
              <w:rPr>
                <w:b/>
                <w:color w:val="1B365D"/>
                <w:sz w:val="18"/>
              </w:rPr>
              <w:t>Step 2</w:t>
            </w:r>
          </w:p>
        </w:tc>
        <w:tc>
          <w:tcPr>
            <w:tcW w:type="dxa" w:w="2448"/>
            <w:shd w:fill="FFFFFF"/>
            <w:tcMar>
              <w:top w:w="60" w:type="dxa"/>
              <w:bottom w:w="60" w:type="dxa"/>
              <w:left w:w="80" w:type="dxa"/>
              <w:right w:w="80" w:type="dxa"/>
            </w:tcMar>
          </w:tcPr>
          <w:p>
            <w:r>
              <w:rPr>
                <w:color w:val="333333"/>
                <w:sz w:val="17"/>
              </w:rPr>
              <w:t>Query IFEO registry key to verify if application is blocked by Debugger.</w:t>
            </w:r>
          </w:p>
        </w:tc>
        <w:tc>
          <w:tcPr>
            <w:tcW w:type="dxa" w:w="2448"/>
            <w:shd w:fill="FFFFFF"/>
            <w:tcMar>
              <w:top w:w="60" w:type="dxa"/>
              <w:bottom w:w="60" w:type="dxa"/>
              <w:left w:w="80" w:type="dxa"/>
              <w:right w:w="80" w:type="dxa"/>
            </w:tcMar>
          </w:tcPr>
          <w:p>
            <w:r>
              <w:rPr>
                <w:rFonts w:ascii="Consolas" w:hAnsi="Consolas"/>
                <w:color w:val="004B87"/>
                <w:sz w:val="16"/>
              </w:rPr>
              <w:t>reg query "HKLM\SOFTWARE\Microsoft\Windows NT\CurrentVersion\Image File Execution Options\{{entities.application}}.exe"</w:t>
            </w:r>
          </w:p>
        </w:tc>
        <w:tc>
          <w:tcPr>
            <w:tcW w:type="dxa" w:w="2448"/>
            <w:shd w:fill="FFFFFF"/>
            <w:tcMar>
              <w:top w:w="60" w:type="dxa"/>
              <w:bottom w:w="60" w:type="dxa"/>
              <w:left w:w="80" w:type="dxa"/>
              <w:right w:w="80" w:type="dxa"/>
            </w:tcMar>
          </w:tcPr>
          <w:p>
            <w:r>
              <w:rPr>
                <w:color w:val="444444"/>
                <w:sz w:val="17"/>
              </w:rPr>
              <w:t>Parse: ifeo_blocked = (stdout contains 'Debugger')</w:t>
              <w:br/>
              <w:t>Gate: endpoint_reachable == true</w:t>
            </w:r>
          </w:p>
        </w:tc>
      </w:tr>
      <w:tr>
        <w:tc>
          <w:tcPr>
            <w:tcW w:type="dxa" w:w="2448"/>
            <w:shd w:fill="F9FAFC"/>
            <w:tcMar>
              <w:top w:w="60" w:type="dxa"/>
              <w:bottom w:w="60" w:type="dxa"/>
              <w:left w:w="80" w:type="dxa"/>
              <w:right w:w="80" w:type="dxa"/>
            </w:tcMar>
          </w:tcPr>
          <w:p>
            <w:r>
              <w:rPr>
                <w:b/>
                <w:color w:val="1B365D"/>
                <w:sz w:val="18"/>
              </w:rPr>
              <w:t>Step 3</w:t>
            </w:r>
          </w:p>
        </w:tc>
        <w:tc>
          <w:tcPr>
            <w:tcW w:type="dxa" w:w="2448"/>
            <w:shd w:fill="F9FAFC"/>
            <w:tcMar>
              <w:top w:w="60" w:type="dxa"/>
              <w:bottom w:w="60" w:type="dxa"/>
              <w:left w:w="80" w:type="dxa"/>
              <w:right w:w="80" w:type="dxa"/>
            </w:tcMar>
          </w:tcPr>
          <w:p>
            <w:r>
              <w:rPr>
                <w:color w:val="333333"/>
                <w:sz w:val="17"/>
              </w:rPr>
              <w:t>Remove IFEO Debugger registry value. If blocking key was created solely for block, delete key.</w:t>
            </w:r>
          </w:p>
        </w:tc>
        <w:tc>
          <w:tcPr>
            <w:tcW w:type="dxa" w:w="2448"/>
            <w:shd w:fill="F9FAFC"/>
            <w:tcMar>
              <w:top w:w="60" w:type="dxa"/>
              <w:bottom w:w="60" w:type="dxa"/>
              <w:left w:w="80" w:type="dxa"/>
              <w:right w:w="80" w:type="dxa"/>
            </w:tcMar>
          </w:tcPr>
          <w:p>
            <w:r>
              <w:rPr>
                <w:rFonts w:ascii="Consolas" w:hAnsi="Consolas"/>
                <w:color w:val="004B87"/>
                <w:sz w:val="16"/>
              </w:rPr>
              <w:t>reg delete "HKLM\...\{{entities.application}}.exe" /v Debugger /f</w:t>
              <w:br/>
              <w:t>Fallback: reg delete "HKLM\...\{{entities.application}}.exe" /f</w:t>
            </w:r>
          </w:p>
        </w:tc>
        <w:tc>
          <w:tcPr>
            <w:tcW w:type="dxa" w:w="2448"/>
            <w:shd w:fill="F9FAFC"/>
            <w:tcMar>
              <w:top w:w="60" w:type="dxa"/>
              <w:bottom w:w="60" w:type="dxa"/>
              <w:left w:w="80" w:type="dxa"/>
              <w:right w:w="80" w:type="dxa"/>
            </w:tcMar>
          </w:tcPr>
          <w:p>
            <w:r>
              <w:rPr>
                <w:color w:val="444444"/>
                <w:sz w:val="17"/>
              </w:rPr>
              <w:t>Parse: block_removed = (exit code == 0)</w:t>
              <w:br/>
              <w:t>Gate: ifeo_blocked == true</w:t>
            </w:r>
          </w:p>
        </w:tc>
      </w:tr>
      <w:tr>
        <w:tc>
          <w:tcPr>
            <w:tcW w:type="dxa" w:w="2448"/>
            <w:shd w:fill="FFFFFF"/>
            <w:tcMar>
              <w:top w:w="60" w:type="dxa"/>
              <w:bottom w:w="60" w:type="dxa"/>
              <w:left w:w="80" w:type="dxa"/>
              <w:right w:w="80" w:type="dxa"/>
            </w:tcMar>
          </w:tcPr>
          <w:p>
            <w:r>
              <w:rPr>
                <w:b/>
                <w:color w:val="1B365D"/>
                <w:sz w:val="18"/>
              </w:rPr>
              <w:t>Step 4</w:t>
            </w:r>
          </w:p>
        </w:tc>
        <w:tc>
          <w:tcPr>
            <w:tcW w:type="dxa" w:w="2448"/>
            <w:shd w:fill="FFFFFF"/>
            <w:tcMar>
              <w:top w:w="60" w:type="dxa"/>
              <w:bottom w:w="60" w:type="dxa"/>
              <w:left w:w="80" w:type="dxa"/>
              <w:right w:w="80" w:type="dxa"/>
            </w:tcMar>
          </w:tcPr>
          <w:p>
            <w:r>
              <w:rPr>
                <w:color w:val="333333"/>
                <w:sz w:val="17"/>
              </w:rPr>
              <w:t>Force Group Policy refresh to apply unblock changes immediately.</w:t>
            </w:r>
          </w:p>
        </w:tc>
        <w:tc>
          <w:tcPr>
            <w:tcW w:type="dxa" w:w="2448"/>
            <w:shd w:fill="FFFFFF"/>
            <w:tcMar>
              <w:top w:w="60" w:type="dxa"/>
              <w:bottom w:w="60" w:type="dxa"/>
              <w:left w:w="80" w:type="dxa"/>
              <w:right w:w="80" w:type="dxa"/>
            </w:tcMar>
          </w:tcPr>
          <w:p>
            <w:r>
              <w:rPr>
                <w:rFonts w:ascii="Consolas" w:hAnsi="Consolas"/>
                <w:color w:val="004B87"/>
                <w:sz w:val="16"/>
              </w:rPr>
              <w:t>gpupdate /force</w:t>
            </w:r>
          </w:p>
        </w:tc>
        <w:tc>
          <w:tcPr>
            <w:tcW w:type="dxa" w:w="2448"/>
            <w:shd w:fill="FFFFFF"/>
            <w:tcMar>
              <w:top w:w="60" w:type="dxa"/>
              <w:bottom w:w="60" w:type="dxa"/>
              <w:left w:w="80" w:type="dxa"/>
              <w:right w:w="80" w:type="dxa"/>
            </w:tcMar>
          </w:tcPr>
          <w:p>
            <w:r>
              <w:rPr>
                <w:color w:val="444444"/>
                <w:sz w:val="17"/>
              </w:rPr>
              <w:t>Parse: null (unconditional)</w:t>
              <w:br/>
              <w:t>Gate: ifeo_blocked == true</w:t>
            </w:r>
          </w:p>
        </w:tc>
      </w:tr>
      <w:tr>
        <w:tc>
          <w:tcPr>
            <w:tcW w:type="dxa" w:w="2448"/>
            <w:shd w:fill="F9FAFC"/>
            <w:tcMar>
              <w:top w:w="60" w:type="dxa"/>
              <w:bottom w:w="60" w:type="dxa"/>
              <w:left w:w="80" w:type="dxa"/>
              <w:right w:w="80" w:type="dxa"/>
            </w:tcMar>
          </w:tcPr>
          <w:p>
            <w:r>
              <w:rPr>
                <w:b/>
                <w:color w:val="1B365D"/>
                <w:sz w:val="18"/>
              </w:rPr>
              <w:t>Step 5</w:t>
            </w:r>
          </w:p>
        </w:tc>
        <w:tc>
          <w:tcPr>
            <w:tcW w:type="dxa" w:w="2448"/>
            <w:shd w:fill="F9FAFC"/>
            <w:tcMar>
              <w:top w:w="60" w:type="dxa"/>
              <w:bottom w:w="60" w:type="dxa"/>
              <w:left w:w="80" w:type="dxa"/>
              <w:right w:w="80" w:type="dxa"/>
            </w:tcMar>
          </w:tcPr>
          <w:p>
            <w:r>
              <w:rPr>
                <w:color w:val="333333"/>
                <w:sz w:val="17"/>
              </w:rPr>
              <w:t>Verify block removal by re-querying target registry key.</w:t>
            </w:r>
          </w:p>
        </w:tc>
        <w:tc>
          <w:tcPr>
            <w:tcW w:type="dxa" w:w="2448"/>
            <w:shd w:fill="F9FAFC"/>
            <w:tcMar>
              <w:top w:w="60" w:type="dxa"/>
              <w:bottom w:w="60" w:type="dxa"/>
              <w:left w:w="80" w:type="dxa"/>
              <w:right w:w="80" w:type="dxa"/>
            </w:tcMar>
          </w:tcPr>
          <w:p>
            <w:r>
              <w:rPr>
                <w:rFonts w:ascii="Consolas" w:hAnsi="Consolas"/>
                <w:color w:val="004B87"/>
                <w:sz w:val="16"/>
              </w:rPr>
              <w:t>reg query "HKLM\SOFTWARE\Microsoft\Windows NT\CurrentVersion\Image File Execution Options\{{entities.application}}.exe"</w:t>
            </w:r>
          </w:p>
        </w:tc>
        <w:tc>
          <w:tcPr>
            <w:tcW w:type="dxa" w:w="2448"/>
            <w:shd w:fill="F9FAFC"/>
            <w:tcMar>
              <w:top w:w="60" w:type="dxa"/>
              <w:bottom w:w="60" w:type="dxa"/>
              <w:left w:w="80" w:type="dxa"/>
              <w:right w:w="80" w:type="dxa"/>
            </w:tcMar>
          </w:tcPr>
          <w:p>
            <w:r>
              <w:rPr>
                <w:color w:val="444444"/>
                <w:sz w:val="17"/>
              </w:rPr>
              <w:t>Parse: block_verified = (stdout not contains 'Debugger')</w:t>
              <w:br/>
              <w:t>Gate: ifeo_blocked == true</w:t>
            </w:r>
          </w:p>
        </w:tc>
      </w:tr>
    </w:tbl>
    <w:p>
      <w:pPr>
        <w:spacing w:after="200"/>
      </w:pPr>
    </w:p>
    <w:p>
      <w:pPr>
        <w:pStyle w:val="Heading1"/>
        <w:spacing w:before="240" w:after="120"/>
      </w:pPr>
      <w:r>
        <w:rPr>
          <w:rFonts w:ascii="Calibri" w:hAnsi="Calibri"/>
          <w:color w:val="1B365D"/>
        </w:rPr>
        <w:t>4. Technical Ingestion Pipeline Analysis</w:t>
      </w:r>
    </w:p>
    <w:p>
      <w:pPr>
        <w:pStyle w:val="Heading2"/>
        <w:spacing w:before="160" w:after="80"/>
      </w:pPr>
      <w:r>
        <w:rPr>
          <w:rFonts w:ascii="Calibri" w:hAnsi="Calibri"/>
          <w:color w:val="2E6B9E"/>
        </w:rPr>
        <w:t>4.1 Stage 1: Triage Router Classification</w:t>
      </w:r>
    </w:p>
    <w:p>
      <w:pPr>
        <w:spacing w:after="120" w:line="276" w:lineRule="auto"/>
      </w:pPr>
      <w:r>
        <w:rPr>
          <w:sz w:val="20"/>
        </w:rPr>
        <w:t xml:space="preserve">The Triage Router is responsible for classifying the document's operational paradigm before compilation. In all three runs, the Triage Router accurately recognized that all actions were native Windows operating system commands, classifying it as </w:t>
      </w:r>
      <w:r>
        <w:rPr>
          <w:b/>
        </w:rPr>
        <w:t>'COMMAND'</w:t>
      </w:r>
      <w:r>
        <w:rPr>
          <w:sz w:val="20"/>
        </w:rPr>
        <w:t xml:space="preserve"> with high confidence (0.98 - 0.99). This prevented unnecessary external API probing and directed the workflow to the specialized </w:t>
      </w:r>
      <w:r>
        <w:rPr>
          <w:b/>
        </w:rPr>
        <w:t>COMMAND_COT_PROMPT</w:t>
      </w:r>
      <w:r>
        <w:rPr>
          <w:sz w:val="20"/>
        </w:rPr>
        <w:t xml:space="preserve"> template.</w:t>
      </w:r>
    </w:p>
    <w:p>
      <w:pPr>
        <w:pStyle w:val="Heading2"/>
        <w:spacing w:before="160" w:after="80"/>
      </w:pPr>
      <w:r>
        <w:rPr>
          <w:rFonts w:ascii="Calibri" w:hAnsi="Calibri"/>
          <w:color w:val="2E6B9E"/>
        </w:rPr>
        <w:t>4.2 Stage 2: Converter Agent (Playbook Synthesis)</w:t>
      </w:r>
    </w:p>
    <w:p>
      <w:pPr>
        <w:spacing w:after="120" w:line="276" w:lineRule="auto"/>
      </w:pPr>
      <w:r>
        <w:rPr>
          <w:sz w:val="20"/>
        </w:rPr>
        <w:t>The Converter Agent strictly applied the 6-Stage Command CoT Reasoning Mandate:</w:t>
        <w:br/>
      </w:r>
    </w:p>
    <w:p>
      <w:pPr>
        <w:pStyle w:val="ListBullet"/>
        <w:spacing w:after="40" w:line="276" w:lineRule="auto"/>
      </w:pPr>
      <w:r>
        <w:rPr>
          <w:b/>
        </w:rPr>
        <w:t xml:space="preserve">Diagnostic-First Sequencing: </w:t>
      </w:r>
      <w:r>
        <w:rPr>
          <w:sz w:val="19"/>
        </w:rPr>
        <w:t>Placed connectivity ping (Test-Connection) and discovery query (reg query) prior to any modifying registry delete actions.</w:t>
      </w:r>
    </w:p>
    <w:p>
      <w:pPr>
        <w:pStyle w:val="ListBullet"/>
        <w:spacing w:after="40" w:line="276" w:lineRule="auto"/>
      </w:pPr>
      <w:r>
        <w:rPr>
          <w:b/>
        </w:rPr>
        <w:t xml:space="preserve">Strict Entity Scoping: </w:t>
      </w:r>
      <w:r>
        <w:rPr>
          <w:sz w:val="19"/>
        </w:rPr>
        <w:t>Dynamically extracted {{entities.hostname}} and {{entities.application}} placeholders to enable dynamic ticket parameter injection at runtime.</w:t>
      </w:r>
    </w:p>
    <w:p>
      <w:pPr>
        <w:pStyle w:val="ListBullet"/>
        <w:spacing w:after="40" w:line="276" w:lineRule="auto"/>
      </w:pPr>
      <w:r>
        <w:rPr>
          <w:b/>
        </w:rPr>
        <w:t xml:space="preserve">Noise &amp; Human Step Filtering: </w:t>
      </w:r>
      <w:r>
        <w:rPr>
          <w:sz w:val="19"/>
        </w:rPr>
        <w:t>Correctly discarded manual non-executable instructions from the raw PDF (e.g. 'Ask user to test launching the application' and 'Verify ticket details') to ensure 100% autonomous execution safety.</w:t>
      </w:r>
    </w:p>
    <w:p>
      <w:pPr>
        <w:pStyle w:val="ListBullet"/>
        <w:spacing w:after="40" w:line="276" w:lineRule="auto"/>
      </w:pPr>
      <w:r>
        <w:rPr>
          <w:b/>
        </w:rPr>
        <w:t xml:space="preserve">Deterministic Fallback Binding: </w:t>
      </w:r>
      <w:r>
        <w:rPr>
          <w:sz w:val="19"/>
        </w:rPr>
        <w:t>Populated fallback_command with the full key deletion command ('reg delete ... /f') if the value deletion fails.</w:t>
      </w:r>
    </w:p>
    <w:p>
      <w:pPr>
        <w:pStyle w:val="Heading2"/>
        <w:spacing w:before="160" w:after="80"/>
      </w:pPr>
      <w:r>
        <w:rPr>
          <w:rFonts w:ascii="Calibri" w:hAnsi="Calibri"/>
          <w:color w:val="2E6B9E"/>
        </w:rPr>
        <w:t>4.3 Stage 3: Validation Layer &amp; Model Tier Optimization</w:t>
      </w:r>
    </w:p>
    <w:p>
      <w:pPr>
        <w:spacing w:after="120" w:line="276" w:lineRule="auto"/>
      </w:pPr>
      <w:r>
        <w:rPr>
          <w:sz w:val="20"/>
        </w:rPr>
        <w:t>Stage 3 performs two validation gates: Layer 1 (Deterministic AST/Schema checks) and Layer 2 (LLM Faithfulness &amp; Prompt Injection Audit). A critical operational improvement occurred between Run 1 and Runs 2/3:</w:t>
      </w:r>
    </w:p>
    <w:tbl>
      <w:tblPr>
        <w:tblW w:type="auto" w:w="0"/>
        <w:jc w:val="center"/>
        <w:tblLayout w:type="fixed"/>
        <w:tblLook w:firstColumn="1" w:firstRow="1" w:lastColumn="0" w:lastRow="0" w:noHBand="0" w:noVBand="1" w:val="04A0"/>
      </w:tblPr>
      <w:tblGrid>
        <w:gridCol w:w="9792"/>
      </w:tblGrid>
      <w:tr>
        <w:tc>
          <w:tcPr>
            <w:tcW w:type="dxa" w:w="9360"/>
            <w:shd w:fill="EBF5FB"/>
            <w:tcMar>
              <w:top w:w="140" w:type="dxa"/>
              <w:bottom w:w="140" w:type="dxa"/>
              <w:left w:w="200" w:type="dxa"/>
              <w:right w:w="200" w:type="dxa"/>
            </w:tcMar>
            <w:tcBorders>
              <w:left w:val="single" w:sz="24" w:space="0" w:color="006699"/>
              <w:top w:val="none"/>
              <w:right w:val="none"/>
              <w:bottom w:val="none"/>
            </w:tcBorders>
          </w:tcPr>
          <w:p>
            <w:pPr>
              <w:spacing w:before="0" w:after="40"/>
            </w:pPr>
            <w:r>
              <w:rPr>
                <w:rFonts w:ascii="Calibri" w:hAnsi="Calibri"/>
                <w:b/>
                <w:color w:val="006699"/>
                <w:sz w:val="20"/>
              </w:rPr>
              <w:t xml:space="preserve">■  VALIDATION OPTIMIZATION INSIGHT: </w:t>
            </w:r>
            <w:r>
              <w:rPr>
                <w:rFonts w:ascii="Calibri" w:hAnsi="Calibri"/>
                <w:color w:val="333333"/>
                <w:sz w:val="19"/>
              </w:rPr>
              <w:t>Run 1 targeted 'mistral-large-latest' which resulted in an HTTP 403 tier limitation error, forcing the system to fall back to NVIDIA and Layer 1 AST checks. Switching the configuration to 'mistral-small-latest' (Mistral Small 3 / 24B) resolved all tier limitations. In Runs 2 and 3, Mistral Small executed the full 6-point CoT faithfulness audit in ~2.3 seconds with 0.98 confidence.</w:t>
            </w:r>
          </w:p>
        </w:tc>
      </w:tr>
    </w:tbl>
    <w:p>
      <w:pPr>
        <w:spacing w:after="80"/>
      </w:pPr>
    </w:p>
    <w:p>
      <w:pPr>
        <w:pStyle w:val="Heading1"/>
        <w:spacing w:before="240" w:after="120"/>
      </w:pPr>
      <w:r>
        <w:rPr>
          <w:rFonts w:ascii="Calibri" w:hAnsi="Calibri"/>
          <w:color w:val="1B365D"/>
        </w:rPr>
        <w:t>5. Engineering Recommendations &amp; Operational Conclusion</w:t>
      </w:r>
    </w:p>
    <w:p>
      <w:pPr>
        <w:pStyle w:val="ListBullet"/>
        <w:spacing w:after="80" w:line="276" w:lineRule="auto"/>
      </w:pPr>
      <w:r>
        <w:rPr>
          <w:b/>
          <w:sz w:val="20"/>
        </w:rPr>
        <w:t xml:space="preserve">Standardize on 'mistral-small-latest' for Validation: </w:t>
      </w:r>
      <w:r>
        <w:rPr>
          <w:sz w:val="20"/>
        </w:rPr>
        <w:t>Mistral Small delivers near-instantaneous validation latencies (&lt;2.4s), high faithfulness reasoning, zero API tier errors, and full structured JSON support.</w:t>
      </w:r>
    </w:p>
    <w:p>
      <w:pPr>
        <w:pStyle w:val="ListBullet"/>
        <w:spacing w:after="80" w:line="276" w:lineRule="auto"/>
      </w:pPr>
      <w:r>
        <w:rPr>
          <w:b/>
          <w:sz w:val="20"/>
        </w:rPr>
        <w:t xml:space="preserve">Maintain Dual-Layer Gating: </w:t>
      </w:r>
      <w:r>
        <w:rPr>
          <w:sz w:val="20"/>
        </w:rPr>
        <w:t>The pipeline's fallback architecture proved its resilience during Run 1 by gracefully recovering and completing Layer 1 deterministic validation even when primary remote API endpoints experienced tier limits or timeouts.</w:t>
      </w:r>
    </w:p>
    <w:p>
      <w:pPr>
        <w:pStyle w:val="ListBullet"/>
        <w:spacing w:after="80" w:line="276" w:lineRule="auto"/>
      </w:pPr>
      <w:r>
        <w:rPr>
          <w:b/>
          <w:sz w:val="20"/>
        </w:rPr>
        <w:t xml:space="preserve">Deployment Readiness: </w:t>
      </w:r>
      <w:r>
        <w:rPr>
          <w:sz w:val="20"/>
        </w:rPr>
        <w:t>The generated playbook SOP-L1-APP-001 is 100% verified, syntactically clean, contains complete fallback remediation paths, and is ready for live endpoint execution via the Elone Execution Dispatcher.</w:t>
      </w:r>
    </w:p>
    <w:p>
      <w:pPr>
        <w:spacing w:after="20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