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1F3A5F"/>
          <w:sz w:val="48"/>
        </w:rPr>
        <w:t>FG-MEET Workbench 阶段性工作汇报</w:t>
      </w:r>
    </w:p>
    <w:p>
      <w:pPr>
        <w:jc w:val="center"/>
      </w:pPr>
      <w:r>
        <w:t>模型目标、方法路线、问题排查、正确/错误结果与最终验证证据 | 2026-05-22</w:t>
      </w:r>
    </w:p>
    <w:p/>
    <w:p>
      <w:pPr>
        <w:spacing w:after="160"/>
      </w:pPr>
      <w:r>
        <w:rPr>
          <w:rFonts w:ascii="Calibri" w:hAnsi="Calibri" w:eastAsia="Microsoft YaHei"/>
          <w:b/>
          <w:color w:val="1F4D78"/>
          <w:sz w:val="24"/>
        </w:rPr>
        <w:t>图 1 技术路线与实际收敛流程</w:t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035040" cy="3195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work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195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hAnsi="Calibri" w:eastAsia="Microsoft YaHei"/>
          <w:b/>
          <w:color w:val="1F4D78"/>
          <w:sz w:val="24"/>
        </w:rPr>
        <w:t>图 2 工作量总览</w:t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035040" cy="27922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workload_tab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92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160"/>
      </w:pPr>
      <w:r>
        <w:rPr>
          <w:rFonts w:ascii="Calibri" w:hAnsi="Calibri" w:eastAsia="Microsoft YaHei"/>
          <w:b/>
          <w:color w:val="2E74B5"/>
          <w:sz w:val="32"/>
        </w:rPr>
        <w:t>1. 模型与目标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6"/>
              </w:rPr>
              <w:t>项目</w:t>
            </w:r>
          </w:p>
        </w:tc>
        <w:tc>
          <w:tcPr>
            <w:tcW w:type="dxa" w:w="5083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6"/>
              </w:rPr>
              <w:t>内容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模型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300×300×6 mm FG-MEE CFFF 方板，30×30 八节点板壳，10 层材料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载荷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Case A: 15000 Pa；Case B: ±300 V；Case C: ±200 A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目标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MATLAB 主扫描 + COMSOL 独立验证，关键误差 &lt;5%</w:t>
            </w:r>
          </w:p>
        </w:tc>
      </w:tr>
      <w:tr>
        <w:tc>
          <w:tcPr>
            <w:tcW w:type="dxa" w:w="508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汇报目标</w:t>
            </w:r>
          </w:p>
        </w:tc>
        <w:tc>
          <w:tcPr>
            <w:tcW w:type="dxa" w:w="508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把一个月工作量转化为可截图的图表、表格和说明</w:t>
            </w:r>
          </w:p>
        </w:tc>
      </w:tr>
    </w:tbl>
    <w:p/>
    <w:p>
      <w:pPr>
        <w:spacing w:after="160"/>
      </w:pPr>
      <w:r>
        <w:rPr>
          <w:rFonts w:ascii="Calibri" w:hAnsi="Calibri" w:eastAsia="Microsoft YaHei"/>
          <w:b/>
          <w:color w:val="1F4D78"/>
          <w:sz w:val="24"/>
        </w:rPr>
        <w:t>图 3 预计方法与实际执行路径</w:t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035040" cy="21404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ethod_tab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14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160"/>
      </w:pPr>
      <w:r>
        <w:rPr>
          <w:rFonts w:ascii="Calibri" w:hAnsi="Calibri" w:eastAsia="Microsoft YaHei"/>
          <w:b/>
          <w:color w:val="2E74B5"/>
          <w:sz w:val="32"/>
        </w:rPr>
        <w:t>2. 过程问题与解决思路</w:t>
      </w:r>
    </w:p>
    <w:p>
      <w:r>
        <w:t>实际难点集中在 COMSOL 自动化权限、边界/载荷选择、MATLAB reduced Qd 后处理、以及 COMSOL 网格/厚度离散一致性。下面表格可直接用于组会说明排查过程。</w:t>
      </w:r>
    </w:p>
    <w:p>
      <w:pPr>
        <w:spacing w:after="160"/>
      </w:pPr>
      <w:r>
        <w:rPr>
          <w:rFonts w:ascii="Calibri" w:hAnsi="Calibri" w:eastAsia="Microsoft YaHei"/>
          <w:b/>
          <w:color w:val="1F4D78"/>
          <w:sz w:val="24"/>
        </w:rPr>
        <w:t>图 4 实际问题与处理路径</w:t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035040" cy="26848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roblem_solution_tab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684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160"/>
      </w:pPr>
      <w:r>
        <w:rPr>
          <w:rFonts w:ascii="Calibri" w:hAnsi="Calibri" w:eastAsia="Microsoft YaHei"/>
          <w:b/>
          <w:color w:val="2E74B5"/>
          <w:sz w:val="32"/>
        </w:rPr>
        <w:t>3. MATLAB 主算例结果</w:t>
      </w:r>
    </w:p>
    <w:p>
      <w:pPr>
        <w:spacing w:after="160"/>
      </w:pPr>
      <w:r>
        <w:rPr>
          <w:rFonts w:ascii="Calibri" w:hAnsi="Calibri" w:eastAsia="Microsoft YaHei"/>
          <w:b/>
          <w:color w:val="1F4D78"/>
          <w:sz w:val="24"/>
        </w:rPr>
        <w:t>图 5 Case A 机械压力下中心挠度</w:t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035040" cy="34701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elastic_w_vs_v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47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hAnsi="Calibri" w:eastAsia="Microsoft YaHei"/>
          <w:b/>
          <w:color w:val="1F4D78"/>
          <w:sz w:val="24"/>
        </w:rPr>
        <w:t>图 6 Case B 电势驱动下中心挠度</w:t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035040" cy="34701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electro_w_vs_v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47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hAnsi="Calibri" w:eastAsia="Microsoft YaHei"/>
          <w:b/>
          <w:color w:val="1F4D78"/>
          <w:sz w:val="24"/>
        </w:rPr>
        <w:t>图 7 Case C 磁势驱动下中心挠度</w:t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035040" cy="34701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agneto_w_vs_v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47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hAnsi="Calibri" w:eastAsia="Microsoft YaHei"/>
          <w:b/>
          <w:color w:val="1F4D78"/>
          <w:sz w:val="24"/>
        </w:rPr>
        <w:t>图 8 Case A 层温差跨度热力图</w:t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035040" cy="362102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theta_span_heatma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hAnsi="Calibri" w:eastAsia="Microsoft YaHei"/>
          <w:b/>
          <w:color w:val="1F4D78"/>
          <w:sz w:val="24"/>
        </w:rPr>
        <w:t>图 9 Case C 磁电效率曲线</w:t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035040" cy="347014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magnetoelectric_efficienc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47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160"/>
      </w:pPr>
      <w:r>
        <w:rPr>
          <w:rFonts w:ascii="Calibri" w:hAnsi="Calibri" w:eastAsia="Microsoft YaHei"/>
          <w:b/>
          <w:color w:val="2E74B5"/>
          <w:sz w:val="32"/>
        </w:rPr>
        <w:t>4. reduced Qd 后处理修正</w:t>
      </w:r>
    </w:p>
    <w:p>
      <w:r>
        <w:t>修正前直接按节点号索引 reduced Qd，会在固定边存在时错位。修正后先按节点约束标志还原完整 TQd，再取中心节点。135 行 results_static.csv 已全部刷新。</w:t>
      </w:r>
    </w:p>
    <w:p>
      <w:pPr>
        <w:spacing w:after="160"/>
      </w:pPr>
      <w:r>
        <w:rPr>
          <w:rFonts w:ascii="Calibri" w:hAnsi="Calibri" w:eastAsia="Microsoft YaHei"/>
          <w:b/>
          <w:color w:val="1F4D78"/>
          <w:sz w:val="24"/>
        </w:rPr>
        <w:t>图 10 中心挠度刷新前后差异 Top 10</w:t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035040" cy="339471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wcenter_refresh_to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160"/>
      </w:pPr>
      <w:r>
        <w:rPr>
          <w:rFonts w:ascii="Calibri" w:hAnsi="Calibri" w:eastAsia="Microsoft YaHei"/>
          <w:b/>
          <w:color w:val="2E74B5"/>
          <w:sz w:val="32"/>
        </w:rPr>
        <w:t>5. COMSOL 方案筛选与错误结果</w:t>
      </w:r>
    </w:p>
    <w:p>
      <w:r>
        <w:t>为了便于讨论，错误或未达标方案也完整保留：自由四面体网格、单域 swept、10-domain CSV 的不同厚度离散均列入对比。</w:t>
      </w:r>
    </w:p>
    <w:p>
      <w:pPr>
        <w:spacing w:after="160"/>
      </w:pPr>
      <w:r>
        <w:rPr>
          <w:rFonts w:ascii="Calibri" w:hAnsi="Calibri" w:eastAsia="Microsoft YaHei"/>
          <w:b/>
          <w:color w:val="1F4D78"/>
          <w:sz w:val="24"/>
        </w:rPr>
        <w:t>图 11 COMSOL 方案误差收敛路径</w:t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217920" cy="343814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omsol_experiment_error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3814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54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6"/>
              </w:rPr>
              <w:t>实验</w:t>
            </w:r>
          </w:p>
        </w:tc>
        <w:tc>
          <w:tcPr>
            <w:tcW w:type="dxa" w:w="254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6"/>
              </w:rPr>
              <w:t>中心误差%</w:t>
            </w:r>
          </w:p>
        </w:tc>
        <w:tc>
          <w:tcPr>
            <w:tcW w:type="dxa" w:w="254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6"/>
              </w:rPr>
              <w:t>最大误差%</w:t>
            </w:r>
          </w:p>
        </w:tc>
        <w:tc>
          <w:tcPr>
            <w:tcW w:type="dxa" w:w="254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6"/>
              </w:rPr>
              <w:t>平均误差%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forcearea_mesh4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6.66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7.307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6.743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forcearea_mesh5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6.258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6.844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6.244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forcearea_mesh3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6.801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7.437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6.905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sweep10_mesh5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2.516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4.714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3.079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sweep10_mesh4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2.524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4.704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3.083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layered_csv_sweep10_mesh4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5.246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6.032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5.039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layered_csv_sweep5_mesh4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1.541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6.407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2.708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layered_csv_sweep7_mesh4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3.771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4.927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3.513</w:t>
            </w:r>
          </w:p>
        </w:tc>
      </w:tr>
      <w:tr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layered_csv_sweep1_mesh4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49.656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60.294</w:t>
            </w:r>
          </w:p>
        </w:tc>
        <w:tc>
          <w:tcPr>
            <w:tcW w:type="dxa" w:w="254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48.882</w:t>
            </w:r>
          </w:p>
        </w:tc>
      </w:tr>
    </w:tbl>
    <w:p/>
    <w:p>
      <w:pPr>
        <w:spacing w:before="160" w:after="160"/>
      </w:pPr>
      <w:r>
        <w:rPr>
          <w:rFonts w:ascii="Calibri" w:hAnsi="Calibri" w:eastAsia="Microsoft YaHei"/>
          <w:b/>
          <w:color w:val="2E74B5"/>
          <w:sz w:val="32"/>
        </w:rPr>
        <w:t>6. 最终正确结果</w:t>
      </w:r>
    </w:p>
    <w:p>
      <w:pPr>
        <w:spacing w:after="160"/>
      </w:pPr>
      <w:r>
        <w:rPr>
          <w:rFonts w:ascii="Calibri" w:hAnsi="Calibri" w:eastAsia="Microsoft YaHei"/>
          <w:b/>
          <w:color w:val="1F4D78"/>
          <w:sz w:val="24"/>
        </w:rPr>
        <w:t>图 12 最终通过结果摘要</w:t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035040" cy="214042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final_result_tab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14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hAnsi="Calibri" w:eastAsia="Microsoft YaHei"/>
          <w:b/>
          <w:color w:val="1F4D78"/>
          <w:sz w:val="24"/>
        </w:rPr>
        <w:t>图 13 最终 15 点 MATLAB/COMSOL 位移对比</w:t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035040" cy="347014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omsol_point_comparis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47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hAnsi="Calibri" w:eastAsia="Microsoft YaHei"/>
          <w:b/>
          <w:color w:val="1F4D78"/>
          <w:sz w:val="24"/>
        </w:rPr>
        <w:t>图 14 最终 15 点相对误差</w:t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035040" cy="339471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comsol_point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c>
          <w:tcPr>
            <w:tcW w:type="dxa" w:w="2033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6"/>
              </w:rPr>
              <w:t>点</w:t>
            </w:r>
          </w:p>
        </w:tc>
        <w:tc>
          <w:tcPr>
            <w:tcW w:type="dxa" w:w="2033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6"/>
              </w:rPr>
              <w:t>MATLAB mm</w:t>
            </w:r>
          </w:p>
        </w:tc>
        <w:tc>
          <w:tcPr>
            <w:tcW w:type="dxa" w:w="2033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6"/>
              </w:rPr>
              <w:t>COMSOL mm</w:t>
            </w:r>
          </w:p>
        </w:tc>
        <w:tc>
          <w:tcPr>
            <w:tcW w:type="dxa" w:w="2033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6"/>
              </w:rPr>
              <w:t>差值 mm</w:t>
            </w:r>
          </w:p>
        </w:tc>
        <w:tc>
          <w:tcPr>
            <w:tcW w:type="dxa" w:w="2033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6"/>
              </w:rPr>
              <w:t>误差%</w:t>
            </w:r>
          </w:p>
        </w:tc>
      </w:tr>
      <w:tr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p1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-0.2873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-0.2899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-0.0026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0.908</w:t>
            </w:r>
          </w:p>
        </w:tc>
      </w:tr>
      <w:tr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p2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-1.0231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-1.0587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-0.0356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3.4803</w:t>
            </w:r>
          </w:p>
        </w:tc>
      </w:tr>
      <w:tr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p3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-2.0645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-2.1534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-0.0889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4.3058</w:t>
            </w:r>
          </w:p>
        </w:tc>
      </w:tr>
      <w:tr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p4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-3.2881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-3.4428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-0.1546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4.7031</w:t>
            </w:r>
          </w:p>
        </w:tc>
      </w:tr>
      <w:tr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p5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-4.6001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-4.8268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-0.2266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4.9268</w:t>
            </w:r>
          </w:p>
        </w:tc>
      </w:tr>
      <w:tr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p6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-0.3046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-0.3027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0.0019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0.6258</w:t>
            </w:r>
          </w:p>
        </w:tc>
      </w:tr>
      <w:tr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p7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-1.0711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-1.0979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-0.0269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2.5071</w:t>
            </w:r>
          </w:p>
        </w:tc>
      </w:tr>
      <w:tr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p8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-2.1275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-2.2077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-0.0802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3.7706</w:t>
            </w:r>
          </w:p>
        </w:tc>
      </w:tr>
      <w:tr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p9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-3.3517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-3.4992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-0.1475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4.3997</w:t>
            </w:r>
          </w:p>
        </w:tc>
      </w:tr>
      <w:tr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p10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-4.659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-4.8799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-0.2209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4.7411</w:t>
            </w:r>
          </w:p>
        </w:tc>
      </w:tr>
      <w:tr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p11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-0.2873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-0.2899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-0.0026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0.908</w:t>
            </w:r>
          </w:p>
        </w:tc>
      </w:tr>
      <w:tr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p12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-1.0231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-1.0587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-0.0356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3.4803</w:t>
            </w:r>
          </w:p>
        </w:tc>
      </w:tr>
      <w:tr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p13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-2.0645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-2.1534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-0.0889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4.3058</w:t>
            </w:r>
          </w:p>
        </w:tc>
      </w:tr>
      <w:tr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p14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-3.2881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-3.4428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-0.1546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4.7031</w:t>
            </w:r>
          </w:p>
        </w:tc>
      </w:tr>
      <w:tr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p15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-4.6001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-4.8268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-0.2266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4.9268</w:t>
            </w:r>
          </w:p>
        </w:tc>
      </w:tr>
    </w:tbl>
    <w:p/>
    <w:p>
      <w:pPr>
        <w:spacing w:before="160" w:after="160"/>
      </w:pPr>
      <w:r>
        <w:rPr>
          <w:rFonts w:ascii="Calibri" w:hAnsi="Calibri" w:eastAsia="Microsoft YaHei"/>
          <w:b/>
          <w:color w:val="2E74B5"/>
          <w:sz w:val="32"/>
        </w:rPr>
        <w:t>7. 2 mm 耦合验证</w:t>
      </w:r>
    </w:p>
    <w:p>
      <w:pPr>
        <w:spacing w:after="160"/>
      </w:pPr>
      <w:r>
        <w:rPr>
          <w:rFonts w:ascii="Calibri" w:hAnsi="Calibri" w:eastAsia="Microsoft YaHei"/>
          <w:b/>
          <w:color w:val="1F4D78"/>
          <w:sz w:val="24"/>
        </w:rPr>
        <w:t>图 15 2 mm 耦合验证表</w:t>
      </w:r>
    </w:p>
    <w:p>
      <w:pPr>
        <w:spacing w:before="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035040" cy="226700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coupling_ta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26700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c>
          <w:tcPr>
            <w:tcW w:type="dxa" w:w="2033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6"/>
              </w:rPr>
              <w:t>检查项</w:t>
            </w:r>
          </w:p>
        </w:tc>
        <w:tc>
          <w:tcPr>
            <w:tcW w:type="dxa" w:w="2033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6"/>
              </w:rPr>
              <w:t>方法</w:t>
            </w:r>
          </w:p>
        </w:tc>
        <w:tc>
          <w:tcPr>
            <w:tcW w:type="dxa" w:w="2033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6"/>
              </w:rPr>
              <w:t>驱动</w:t>
            </w:r>
          </w:p>
        </w:tc>
        <w:tc>
          <w:tcPr>
            <w:tcW w:type="dxa" w:w="2033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6"/>
              </w:rPr>
              <w:t>中心挠度 mm</w:t>
            </w:r>
          </w:p>
        </w:tc>
        <w:tc>
          <w:tcPr>
            <w:tcW w:type="dxa" w:w="2033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6"/>
              </w:rPr>
              <w:t>状态</w:t>
            </w:r>
          </w:p>
        </w:tc>
      </w:tr>
      <w:tr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E_to_w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forward_2mm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electric_potential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-2.0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pass</w:t>
            </w:r>
          </w:p>
        </w:tc>
      </w:tr>
      <w:tr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M_to_w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forward_2mm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magnetic_potential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2.0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pass</w:t>
            </w:r>
          </w:p>
        </w:tc>
      </w:tr>
      <w:tr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w_to_E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shen_sensor_mechanical_2mm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mechanical_load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-2.0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pass</w:t>
            </w:r>
          </w:p>
        </w:tc>
      </w:tr>
      <w:tr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w_to_M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shen_sensor_mechanical_2mm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mechanical_load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-2.0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pass</w:t>
            </w:r>
          </w:p>
        </w:tc>
      </w:tr>
      <w:tr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M_to_w_to_E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shen_direct_matrix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magnetic_potential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2.0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pass</w:t>
            </w:r>
          </w:p>
        </w:tc>
      </w:tr>
      <w:tr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E_to_w_to_M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shen_direct_matrix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electric_potential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-2.0</w:t>
            </w:r>
          </w:p>
        </w:tc>
        <w:tc>
          <w:tcPr>
            <w:tcW w:type="dxa" w:w="203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pass</w:t>
            </w:r>
          </w:p>
        </w:tc>
      </w:tr>
    </w:tbl>
    <w:p/>
    <w:p>
      <w:pPr>
        <w:spacing w:before="160" w:after="160"/>
      </w:pPr>
      <w:r>
        <w:rPr>
          <w:rFonts w:ascii="Calibri" w:hAnsi="Calibri" w:eastAsia="Microsoft YaHei"/>
          <w:b/>
          <w:color w:val="2E74B5"/>
          <w:sz w:val="32"/>
        </w:rPr>
        <w:t>8. 下一步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6"/>
              </w:rPr>
              <w:t>事项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6"/>
              </w:rPr>
              <w:t>状态</w:t>
            </w:r>
          </w:p>
        </w:tc>
        <w:tc>
          <w:tcPr>
            <w:tcW w:type="dxa" w:w="3389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6"/>
              </w:rPr>
              <w:t>下一步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动力代表算例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未完成；已有 Newmark 函数与历史脚本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封装统一入口，输出时程和峰值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论文 main.tex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仓库当前无 paper/ 目录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动力数据完成后再生成论文图表</w:t>
            </w:r>
          </w:p>
        </w:tc>
      </w:tr>
      <w:tr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更多 COMSOL 分布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U/Vf0.6 已通过</w:t>
            </w:r>
          </w:p>
        </w:tc>
        <w:tc>
          <w:tcPr>
            <w:tcW w:type="dxa" w:w="3389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可选 V/X/O/P 代表算例补充</w:t>
            </w:r>
          </w:p>
        </w:tc>
      </w:tr>
    </w:tbl>
    <w:p/>
    <w:sectPr w:rsidR="00FC693F" w:rsidRPr="0006063C" w:rsidSect="00034616">
      <w:pgSz w:w="12240" w:h="15840"/>
      <w:pgMar w:top="1080" w:right="1037" w:bottom="1080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