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张菁婧2025 数据整理</w:t>
      </w:r>
    </w:p>
    <w:p>
      <w:r>
        <w:t>文献：补中益气汤调控肠道微生物群改善地塞米松致小鼠肌少症的实验研究</w:t>
      </w:r>
    </w:p>
    <w:p>
      <w:r>
        <w:t>作者：张菁婧, 潘姑, 张禹杰, 林佳成, 刘伟, 元唯安</w:t>
      </w:r>
    </w:p>
    <w:p>
      <w:r>
        <w:t>期刊：世界中医药 2025年9月第20卷第18期</w:t>
      </w:r>
    </w:p>
    <w:p/>
    <w:p>
      <w:pPr>
        <w:pStyle w:val="Heading2"/>
      </w:pPr>
      <w:r>
        <w:t>一、研究基本信息</w:t>
      </w:r>
    </w:p>
    <w:p>
      <w:r>
        <w:rPr>
          <w:b/>
        </w:rPr>
        <w:t>• 研究类型：</w:t>
      </w:r>
      <w:r>
        <w:t>动物实验（小鼠）</w:t>
        <w:br/>
      </w:r>
      <w:r>
        <w:rPr>
          <w:b/>
        </w:rPr>
        <w:t>• 样本量：</w:t>
      </w:r>
      <w:r>
        <w:t>35只，随机分为5组，每组n=7</w:t>
        <w:br/>
      </w:r>
      <w:r>
        <w:rPr>
          <w:b/>
        </w:rPr>
        <w:t>• 干预时间：</w:t>
      </w:r>
      <w:r>
        <w:t>14天（2周）</w:t>
        <w:br/>
      </w:r>
      <w:r>
        <w:rPr>
          <w:b/>
        </w:rPr>
        <w:t>• 造模方法：</w:t>
      </w:r>
      <w:r>
        <w:t>腹腔注射地塞米松磷酸钠诱导肌少症</w:t>
        <w:br/>
      </w:r>
      <w:r>
        <w:rPr>
          <w:b/>
        </w:rPr>
        <w:t>• 分组：</w:t>
      </w:r>
      <w:r>
        <w:br/>
      </w:r>
      <w:r>
        <w:t xml:space="preserve">  - 对照组1：正常对照</w:t>
        <w:br/>
      </w:r>
      <w:r>
        <w:t xml:space="preserve">  - 模型组1：地塞米松模型组（Meta分析对照）</w:t>
        <w:br/>
      </w:r>
      <w:r>
        <w:t xml:space="preserve">  - BYD-L：补中益气汤低剂量组 8g/kg</w:t>
        <w:br/>
      </w:r>
      <w:r>
        <w:t xml:space="preserve">  - BYD-H：补中益气汤高剂量组 16g/kg</w:t>
        <w:br/>
      </w:r>
      <w:r>
        <w:t xml:space="preserve">  - Vit D：维生素D组</w:t>
        <w:br/>
      </w:r>
    </w:p>
    <w:p/>
    <w:p>
      <w:pPr>
        <w:pStyle w:val="Heading2"/>
      </w:pPr>
      <w:r>
        <w:t>二、原始数据（Mean±SD）</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nil" w:sz="4" w:color="000000"/>
              <w:left w:val="nil" w:sz="4" w:color="000000"/>
              <w:bottom w:val="nil" w:sz="4" w:color="000000"/>
              <w:right w:val="nil" w:sz="4" w:color="000000"/>
            </w:tcBorders>
            <w:tcBorders>
              <w:top w:val="single" w:sz="12" w:color="000000"/>
              <w:bottom w:val="single" w:sz="6" w:color="000000"/>
            </w:tcBorders>
          </w:tcPr>
          <w:p>
            <w:pPr>
              <w:jc w:val="center"/>
            </w:pPr>
            <w:r>
              <w:rPr>
                <w:rFonts w:ascii="Times New Roman" w:hAnsi="Times New Roman"/>
                <w:b/>
                <w:sz w:val="18"/>
              </w:rPr>
              <w:t>指标</w:t>
            </w:r>
          </w:p>
        </w:tc>
        <w:tc>
          <w:tcPr>
            <w:tcW w:type="dxa" w:w="1440"/>
            <w:tcBorders>
              <w:top w:val="nil" w:sz="4" w:color="000000"/>
              <w:left w:val="nil" w:sz="4" w:color="000000"/>
              <w:bottom w:val="nil" w:sz="4" w:color="000000"/>
              <w:right w:val="nil" w:sz="4" w:color="000000"/>
            </w:tcBorders>
            <w:tcBorders>
              <w:top w:val="single" w:sz="12" w:color="000000"/>
              <w:bottom w:val="single" w:sz="6" w:color="000000"/>
            </w:tcBorders>
          </w:tcPr>
          <w:p>
            <w:pPr>
              <w:jc w:val="center"/>
            </w:pPr>
            <w:r>
              <w:rPr>
                <w:rFonts w:ascii="Times New Roman" w:hAnsi="Times New Roman"/>
                <w:b/>
                <w:sz w:val="18"/>
              </w:rPr>
              <w:t>对照组1</w:t>
            </w:r>
          </w:p>
        </w:tc>
        <w:tc>
          <w:tcPr>
            <w:tcW w:type="dxa" w:w="1440"/>
            <w:tcBorders>
              <w:top w:val="nil" w:sz="4" w:color="000000"/>
              <w:left w:val="nil" w:sz="4" w:color="000000"/>
              <w:bottom w:val="nil" w:sz="4" w:color="000000"/>
              <w:right w:val="nil" w:sz="4" w:color="000000"/>
            </w:tcBorders>
            <w:tcBorders>
              <w:top w:val="single" w:sz="12" w:color="000000"/>
              <w:bottom w:val="single" w:sz="6" w:color="000000"/>
            </w:tcBorders>
          </w:tcPr>
          <w:p>
            <w:pPr>
              <w:jc w:val="center"/>
            </w:pPr>
            <w:r>
              <w:rPr>
                <w:rFonts w:ascii="Times New Roman" w:hAnsi="Times New Roman"/>
                <w:b/>
                <w:sz w:val="18"/>
              </w:rPr>
              <w:t>模型组1</w:t>
            </w:r>
          </w:p>
        </w:tc>
        <w:tc>
          <w:tcPr>
            <w:tcW w:type="dxa" w:w="1440"/>
            <w:tcBorders>
              <w:top w:val="nil" w:sz="4" w:color="000000"/>
              <w:left w:val="nil" w:sz="4" w:color="000000"/>
              <w:bottom w:val="nil" w:sz="4" w:color="000000"/>
              <w:right w:val="nil" w:sz="4" w:color="000000"/>
            </w:tcBorders>
            <w:tcBorders>
              <w:top w:val="single" w:sz="12" w:color="000000"/>
              <w:bottom w:val="single" w:sz="6" w:color="000000"/>
            </w:tcBorders>
          </w:tcPr>
          <w:p>
            <w:pPr>
              <w:jc w:val="center"/>
            </w:pPr>
            <w:r>
              <w:rPr>
                <w:rFonts w:ascii="Times New Roman" w:hAnsi="Times New Roman"/>
                <w:b/>
                <w:sz w:val="18"/>
              </w:rPr>
              <w:t>BYD-L</w:t>
            </w:r>
          </w:p>
        </w:tc>
        <w:tc>
          <w:tcPr>
            <w:tcW w:type="dxa" w:w="1440"/>
            <w:tcBorders>
              <w:top w:val="nil" w:sz="4" w:color="000000"/>
              <w:left w:val="nil" w:sz="4" w:color="000000"/>
              <w:bottom w:val="nil" w:sz="4" w:color="000000"/>
              <w:right w:val="nil" w:sz="4" w:color="000000"/>
            </w:tcBorders>
            <w:tcBorders>
              <w:top w:val="single" w:sz="12" w:color="000000"/>
              <w:bottom w:val="single" w:sz="6" w:color="000000"/>
            </w:tcBorders>
          </w:tcPr>
          <w:p>
            <w:pPr>
              <w:jc w:val="center"/>
            </w:pPr>
            <w:r>
              <w:rPr>
                <w:rFonts w:ascii="Times New Roman" w:hAnsi="Times New Roman"/>
                <w:b/>
                <w:sz w:val="18"/>
              </w:rPr>
              <w:t>BYD-H</w:t>
            </w:r>
          </w:p>
        </w:tc>
        <w:tc>
          <w:tcPr>
            <w:tcW w:type="dxa" w:w="1440"/>
            <w:tcBorders>
              <w:top w:val="nil" w:sz="4" w:color="000000"/>
              <w:left w:val="nil" w:sz="4" w:color="000000"/>
              <w:bottom w:val="nil" w:sz="4" w:color="000000"/>
              <w:right w:val="nil" w:sz="4" w:color="000000"/>
            </w:tcBorders>
            <w:tcBorders>
              <w:top w:val="single" w:sz="12" w:color="000000"/>
              <w:bottom w:val="single" w:sz="6" w:color="000000"/>
            </w:tcBorders>
          </w:tcPr>
          <w:p>
            <w:pPr>
              <w:jc w:val="center"/>
            </w:pPr>
            <w:r>
              <w:rPr>
                <w:rFonts w:ascii="Times New Roman" w:hAnsi="Times New Roman"/>
                <w:b/>
                <w:sz w:val="18"/>
              </w:rPr>
              <w:t>Vit D</w:t>
            </w:r>
          </w:p>
        </w:tc>
      </w:tr>
      <w:tr>
        <w:tc>
          <w:tcPr>
            <w:tcW w:type="dxa" w:w="1440"/>
            <w:tcBorders>
              <w:top w:val="nil" w:sz="4" w:color="000000"/>
              <w:left w:val="nil" w:sz="4" w:color="000000"/>
              <w:bottom w:val="nil" w:sz="4" w:color="000000"/>
              <w:right w:val="nil" w:sz="4" w:color="000000"/>
            </w:tcBorders>
          </w:tcPr>
          <w:p>
            <w:pPr>
              <w:jc w:val="center"/>
            </w:pPr>
            <w:r>
              <w:rPr>
                <w:rFonts w:ascii="Times New Roman" w:hAnsi="Times New Roman"/>
                <w:sz w:val="18"/>
              </w:rPr>
              <w:t>抓力测试(kg)</w:t>
            </w:r>
          </w:p>
        </w:tc>
        <w:tc>
          <w:tcPr>
            <w:tcW w:type="dxa" w:w="1440"/>
            <w:tcBorders>
              <w:top w:val="nil" w:sz="4" w:color="000000"/>
              <w:left w:val="nil" w:sz="4" w:color="000000"/>
              <w:bottom w:val="nil" w:sz="4" w:color="000000"/>
              <w:right w:val="nil" w:sz="4" w:color="000000"/>
            </w:tcBorders>
          </w:tcPr>
          <w:p>
            <w:pPr>
              <w:jc w:val="center"/>
            </w:pPr>
            <w:r>
              <w:rPr>
                <w:rFonts w:ascii="Times New Roman" w:hAnsi="Times New Roman"/>
                <w:sz w:val="18"/>
              </w:rPr>
              <w:t>0.184±0.006</w:t>
            </w:r>
          </w:p>
        </w:tc>
        <w:tc>
          <w:tcPr>
            <w:tcW w:type="dxa" w:w="1440"/>
            <w:tcBorders>
              <w:top w:val="nil" w:sz="4" w:color="000000"/>
              <w:left w:val="nil" w:sz="4" w:color="000000"/>
              <w:bottom w:val="nil" w:sz="4" w:color="000000"/>
              <w:right w:val="nil" w:sz="4" w:color="000000"/>
            </w:tcBorders>
          </w:tcPr>
          <w:p>
            <w:pPr>
              <w:jc w:val="center"/>
            </w:pPr>
            <w:r>
              <w:rPr>
                <w:rFonts w:ascii="Times New Roman" w:hAnsi="Times New Roman"/>
                <w:sz w:val="18"/>
              </w:rPr>
              <w:t>0.171±0.007</w:t>
            </w:r>
          </w:p>
        </w:tc>
        <w:tc>
          <w:tcPr>
            <w:tcW w:type="dxa" w:w="1440"/>
            <w:tcBorders>
              <w:top w:val="nil" w:sz="4" w:color="000000"/>
              <w:left w:val="nil" w:sz="4" w:color="000000"/>
              <w:bottom w:val="nil" w:sz="4" w:color="000000"/>
              <w:right w:val="nil" w:sz="4" w:color="000000"/>
            </w:tcBorders>
          </w:tcPr>
          <w:p>
            <w:pPr>
              <w:jc w:val="center"/>
            </w:pPr>
            <w:r>
              <w:rPr>
                <w:rFonts w:ascii="Times New Roman" w:hAnsi="Times New Roman"/>
                <w:sz w:val="18"/>
              </w:rPr>
              <w:t>0.172±0.011</w:t>
            </w:r>
          </w:p>
        </w:tc>
        <w:tc>
          <w:tcPr>
            <w:tcW w:type="dxa" w:w="1440"/>
            <w:tcBorders>
              <w:top w:val="nil" w:sz="4" w:color="000000"/>
              <w:left w:val="nil" w:sz="4" w:color="000000"/>
              <w:bottom w:val="nil" w:sz="4" w:color="000000"/>
              <w:right w:val="nil" w:sz="4" w:color="000000"/>
            </w:tcBorders>
          </w:tcPr>
          <w:p>
            <w:pPr>
              <w:jc w:val="center"/>
            </w:pPr>
            <w:r>
              <w:rPr>
                <w:rFonts w:ascii="Times New Roman" w:hAnsi="Times New Roman"/>
                <w:sz w:val="18"/>
              </w:rPr>
              <w:t>0.181±0.012</w:t>
            </w:r>
          </w:p>
        </w:tc>
        <w:tc>
          <w:tcPr>
            <w:tcW w:type="dxa" w:w="1440"/>
            <w:tcBorders>
              <w:top w:val="nil" w:sz="4" w:color="000000"/>
              <w:left w:val="nil" w:sz="4" w:color="000000"/>
              <w:bottom w:val="nil" w:sz="4" w:color="000000"/>
              <w:right w:val="nil" w:sz="4" w:color="000000"/>
            </w:tcBorders>
          </w:tcPr>
          <w:p>
            <w:pPr>
              <w:jc w:val="center"/>
            </w:pPr>
            <w:r>
              <w:rPr>
                <w:rFonts w:ascii="Times New Roman" w:hAnsi="Times New Roman"/>
                <w:sz w:val="18"/>
              </w:rPr>
              <w:t>0.178±0.010</w:t>
            </w:r>
          </w:p>
        </w:tc>
      </w:tr>
      <w:tr>
        <w:tc>
          <w:tcPr>
            <w:tcW w:type="dxa" w:w="1440"/>
            <w:tcBorders>
              <w:top w:val="nil" w:sz="4" w:color="000000"/>
              <w:left w:val="nil" w:sz="4" w:color="000000"/>
              <w:bottom w:val="nil" w:sz="4" w:color="000000"/>
              <w:right w:val="nil" w:sz="4" w:color="000000"/>
            </w:tcBorders>
          </w:tcPr>
          <w:p>
            <w:pPr>
              <w:jc w:val="center"/>
            </w:pPr>
            <w:r>
              <w:rPr>
                <w:rFonts w:ascii="Times New Roman" w:hAnsi="Times New Roman"/>
                <w:sz w:val="18"/>
              </w:rPr>
              <w:t>跑步时间(s)</w:t>
            </w:r>
          </w:p>
        </w:tc>
        <w:tc>
          <w:tcPr>
            <w:tcW w:type="dxa" w:w="1440"/>
            <w:tcBorders>
              <w:top w:val="nil" w:sz="4" w:color="000000"/>
              <w:left w:val="nil" w:sz="4" w:color="000000"/>
              <w:bottom w:val="nil" w:sz="4" w:color="000000"/>
              <w:right w:val="nil" w:sz="4" w:color="000000"/>
            </w:tcBorders>
          </w:tcPr>
          <w:p>
            <w:pPr>
              <w:jc w:val="center"/>
            </w:pPr>
            <w:r>
              <w:rPr>
                <w:rFonts w:ascii="Times New Roman" w:hAnsi="Times New Roman"/>
                <w:sz w:val="18"/>
              </w:rPr>
              <w:t>337.8±51.5</w:t>
            </w:r>
          </w:p>
        </w:tc>
        <w:tc>
          <w:tcPr>
            <w:tcW w:type="dxa" w:w="1440"/>
            <w:tcBorders>
              <w:top w:val="nil" w:sz="4" w:color="000000"/>
              <w:left w:val="nil" w:sz="4" w:color="000000"/>
              <w:bottom w:val="nil" w:sz="4" w:color="000000"/>
              <w:right w:val="nil" w:sz="4" w:color="000000"/>
            </w:tcBorders>
          </w:tcPr>
          <w:p>
            <w:pPr>
              <w:jc w:val="center"/>
            </w:pPr>
            <w:r>
              <w:rPr>
                <w:rFonts w:ascii="Times New Roman" w:hAnsi="Times New Roman"/>
                <w:sz w:val="18"/>
              </w:rPr>
              <w:t>63.2±24.4</w:t>
            </w:r>
          </w:p>
        </w:tc>
        <w:tc>
          <w:tcPr>
            <w:tcW w:type="dxa" w:w="1440"/>
            <w:tcBorders>
              <w:top w:val="nil" w:sz="4" w:color="000000"/>
              <w:left w:val="nil" w:sz="4" w:color="000000"/>
              <w:bottom w:val="nil" w:sz="4" w:color="000000"/>
              <w:right w:val="nil" w:sz="4" w:color="000000"/>
            </w:tcBorders>
          </w:tcPr>
          <w:p>
            <w:pPr>
              <w:jc w:val="center"/>
            </w:pPr>
            <w:r>
              <w:rPr>
                <w:rFonts w:ascii="Times New Roman" w:hAnsi="Times New Roman"/>
                <w:sz w:val="18"/>
              </w:rPr>
              <w:t>69.8±33.6</w:t>
            </w:r>
          </w:p>
        </w:tc>
        <w:tc>
          <w:tcPr>
            <w:tcW w:type="dxa" w:w="1440"/>
            <w:tcBorders>
              <w:top w:val="nil" w:sz="4" w:color="000000"/>
              <w:left w:val="nil" w:sz="4" w:color="000000"/>
              <w:bottom w:val="nil" w:sz="4" w:color="000000"/>
              <w:right w:val="nil" w:sz="4" w:color="000000"/>
            </w:tcBorders>
          </w:tcPr>
          <w:p>
            <w:pPr>
              <w:jc w:val="center"/>
            </w:pPr>
            <w:r>
              <w:rPr>
                <w:rFonts w:ascii="Times New Roman" w:hAnsi="Times New Roman"/>
                <w:sz w:val="18"/>
              </w:rPr>
              <w:t>219.2±57.9</w:t>
            </w:r>
          </w:p>
        </w:tc>
        <w:tc>
          <w:tcPr>
            <w:tcW w:type="dxa" w:w="1440"/>
            <w:tcBorders>
              <w:top w:val="nil" w:sz="4" w:color="000000"/>
              <w:left w:val="nil" w:sz="4" w:color="000000"/>
              <w:bottom w:val="nil" w:sz="4" w:color="000000"/>
              <w:right w:val="nil" w:sz="4" w:color="000000"/>
            </w:tcBorders>
          </w:tcPr>
          <w:p>
            <w:pPr>
              <w:jc w:val="center"/>
            </w:pPr>
            <w:r>
              <w:rPr>
                <w:rFonts w:ascii="Times New Roman" w:hAnsi="Times New Roman"/>
                <w:sz w:val="18"/>
              </w:rPr>
              <w:t>48.8±7.8</w:t>
            </w:r>
          </w:p>
        </w:tc>
      </w:tr>
      <w:tr>
        <w:tc>
          <w:tcPr>
            <w:tcW w:type="dxa" w:w="1440"/>
            <w:tcBorders>
              <w:top w:val="nil" w:sz="4" w:color="000000"/>
              <w:left w:val="nil" w:sz="4" w:color="000000"/>
              <w:bottom w:val="nil" w:sz="4" w:color="000000"/>
              <w:right w:val="nil" w:sz="4" w:color="000000"/>
            </w:tcBorders>
          </w:tcPr>
          <w:p>
            <w:pPr>
              <w:jc w:val="center"/>
            </w:pPr>
            <w:r>
              <w:rPr>
                <w:rFonts w:ascii="Times New Roman" w:hAnsi="Times New Roman"/>
                <w:sz w:val="18"/>
              </w:rPr>
              <w:t>体质量(g)</w:t>
            </w:r>
          </w:p>
        </w:tc>
        <w:tc>
          <w:tcPr>
            <w:tcW w:type="dxa" w:w="1440"/>
            <w:tcBorders>
              <w:top w:val="nil" w:sz="4" w:color="000000"/>
              <w:left w:val="nil" w:sz="4" w:color="000000"/>
              <w:bottom w:val="nil" w:sz="4" w:color="000000"/>
              <w:right w:val="nil" w:sz="4" w:color="000000"/>
            </w:tcBorders>
          </w:tcPr>
          <w:p>
            <w:pPr>
              <w:jc w:val="center"/>
            </w:pPr>
            <w:r>
              <w:rPr>
                <w:rFonts w:ascii="Times New Roman" w:hAnsi="Times New Roman"/>
                <w:sz w:val="18"/>
              </w:rPr>
              <w:t>27.4±1.57</w:t>
            </w:r>
          </w:p>
        </w:tc>
        <w:tc>
          <w:tcPr>
            <w:tcW w:type="dxa" w:w="1440"/>
            <w:tcBorders>
              <w:top w:val="nil" w:sz="4" w:color="000000"/>
              <w:left w:val="nil" w:sz="4" w:color="000000"/>
              <w:bottom w:val="nil" w:sz="4" w:color="000000"/>
              <w:right w:val="nil" w:sz="4" w:color="000000"/>
            </w:tcBorders>
          </w:tcPr>
          <w:p>
            <w:pPr>
              <w:jc w:val="center"/>
            </w:pPr>
            <w:r>
              <w:rPr>
                <w:rFonts w:ascii="Times New Roman" w:hAnsi="Times New Roman"/>
                <w:sz w:val="18"/>
              </w:rPr>
              <w:t>23.63±0.83</w:t>
            </w:r>
          </w:p>
        </w:tc>
        <w:tc>
          <w:tcPr>
            <w:tcW w:type="dxa" w:w="1440"/>
            <w:tcBorders>
              <w:top w:val="nil" w:sz="4" w:color="000000"/>
              <w:left w:val="nil" w:sz="4" w:color="000000"/>
              <w:bottom w:val="nil" w:sz="4" w:color="000000"/>
              <w:right w:val="nil" w:sz="4" w:color="000000"/>
            </w:tcBorders>
          </w:tcPr>
          <w:p>
            <w:pPr>
              <w:jc w:val="center"/>
            </w:pPr>
            <w:r>
              <w:rPr>
                <w:rFonts w:ascii="Times New Roman" w:hAnsi="Times New Roman"/>
                <w:sz w:val="18"/>
              </w:rPr>
              <w:t>24.07±0.61</w:t>
            </w:r>
          </w:p>
        </w:tc>
        <w:tc>
          <w:tcPr>
            <w:tcW w:type="dxa" w:w="1440"/>
            <w:tcBorders>
              <w:top w:val="nil" w:sz="4" w:color="000000"/>
              <w:left w:val="nil" w:sz="4" w:color="000000"/>
              <w:bottom w:val="nil" w:sz="4" w:color="000000"/>
              <w:right w:val="nil" w:sz="4" w:color="000000"/>
            </w:tcBorders>
          </w:tcPr>
          <w:p>
            <w:pPr>
              <w:jc w:val="center"/>
            </w:pPr>
            <w:r>
              <w:rPr>
                <w:rFonts w:ascii="Times New Roman" w:hAnsi="Times New Roman"/>
                <w:sz w:val="18"/>
              </w:rPr>
              <w:t>24.32±1.51</w:t>
            </w:r>
          </w:p>
        </w:tc>
        <w:tc>
          <w:tcPr>
            <w:tcW w:type="dxa" w:w="1440"/>
            <w:tcBorders>
              <w:top w:val="nil" w:sz="4" w:color="000000"/>
              <w:left w:val="nil" w:sz="4" w:color="000000"/>
              <w:bottom w:val="nil" w:sz="4" w:color="000000"/>
              <w:right w:val="nil" w:sz="4" w:color="000000"/>
            </w:tcBorders>
          </w:tcPr>
          <w:p>
            <w:pPr>
              <w:jc w:val="center"/>
            </w:pPr>
            <w:r>
              <w:rPr>
                <w:rFonts w:ascii="Times New Roman" w:hAnsi="Times New Roman"/>
                <w:sz w:val="18"/>
              </w:rPr>
              <w:t>23.68±0.89</w:t>
            </w:r>
          </w:p>
        </w:tc>
      </w:tr>
      <w:tr>
        <w:tc>
          <w:tcPr>
            <w:tcW w:type="dxa" w:w="1440"/>
            <w:tcBorders>
              <w:top w:val="nil" w:sz="4" w:color="000000"/>
              <w:left w:val="nil" w:sz="4" w:color="000000"/>
              <w:bottom w:val="nil" w:sz="4" w:color="000000"/>
              <w:right w:val="nil" w:sz="4" w:color="000000"/>
            </w:tcBorders>
          </w:tcPr>
          <w:p>
            <w:pPr>
              <w:jc w:val="center"/>
            </w:pPr>
            <w:r>
              <w:rPr>
                <w:rFonts w:ascii="Times New Roman" w:hAnsi="Times New Roman"/>
                <w:sz w:val="18"/>
              </w:rPr>
              <w:t>肌肉占比</w:t>
            </w:r>
          </w:p>
        </w:tc>
        <w:tc>
          <w:tcPr>
            <w:tcW w:type="dxa" w:w="1440"/>
            <w:tcBorders>
              <w:top w:val="nil" w:sz="4" w:color="000000"/>
              <w:left w:val="nil" w:sz="4" w:color="000000"/>
              <w:bottom w:val="nil" w:sz="4" w:color="000000"/>
              <w:right w:val="nil" w:sz="4" w:color="000000"/>
            </w:tcBorders>
          </w:tcPr>
          <w:p>
            <w:pPr>
              <w:jc w:val="center"/>
            </w:pPr>
            <w:r>
              <w:rPr>
                <w:rFonts w:ascii="Times New Roman" w:hAnsi="Times New Roman"/>
                <w:sz w:val="18"/>
              </w:rPr>
              <w:t>0.841±0.016</w:t>
            </w:r>
          </w:p>
        </w:tc>
        <w:tc>
          <w:tcPr>
            <w:tcW w:type="dxa" w:w="1440"/>
            <w:tcBorders>
              <w:top w:val="nil" w:sz="4" w:color="000000"/>
              <w:left w:val="nil" w:sz="4" w:color="000000"/>
              <w:bottom w:val="nil" w:sz="4" w:color="000000"/>
              <w:right w:val="nil" w:sz="4" w:color="000000"/>
            </w:tcBorders>
          </w:tcPr>
          <w:p>
            <w:pPr>
              <w:jc w:val="center"/>
            </w:pPr>
            <w:r>
              <w:rPr>
                <w:rFonts w:ascii="Times New Roman" w:hAnsi="Times New Roman"/>
                <w:sz w:val="18"/>
              </w:rPr>
              <w:t>0.783±0.029</w:t>
            </w:r>
          </w:p>
        </w:tc>
        <w:tc>
          <w:tcPr>
            <w:tcW w:type="dxa" w:w="1440"/>
            <w:tcBorders>
              <w:top w:val="nil" w:sz="4" w:color="000000"/>
              <w:left w:val="nil" w:sz="4" w:color="000000"/>
              <w:bottom w:val="nil" w:sz="4" w:color="000000"/>
              <w:right w:val="nil" w:sz="4" w:color="000000"/>
            </w:tcBorders>
          </w:tcPr>
          <w:p>
            <w:pPr>
              <w:jc w:val="center"/>
            </w:pPr>
            <w:r>
              <w:rPr>
                <w:rFonts w:ascii="Times New Roman" w:hAnsi="Times New Roman"/>
                <w:sz w:val="18"/>
              </w:rPr>
              <w:t>0.821±0.017</w:t>
            </w:r>
          </w:p>
        </w:tc>
        <w:tc>
          <w:tcPr>
            <w:tcW w:type="dxa" w:w="1440"/>
            <w:tcBorders>
              <w:top w:val="nil" w:sz="4" w:color="000000"/>
              <w:left w:val="nil" w:sz="4" w:color="000000"/>
              <w:bottom w:val="nil" w:sz="4" w:color="000000"/>
              <w:right w:val="nil" w:sz="4" w:color="000000"/>
            </w:tcBorders>
          </w:tcPr>
          <w:p>
            <w:pPr>
              <w:jc w:val="center"/>
            </w:pPr>
            <w:r>
              <w:rPr>
                <w:rFonts w:ascii="Times New Roman" w:hAnsi="Times New Roman"/>
                <w:sz w:val="18"/>
              </w:rPr>
              <w:t>0.852±0.019</w:t>
            </w:r>
          </w:p>
        </w:tc>
        <w:tc>
          <w:tcPr>
            <w:tcW w:type="dxa" w:w="1440"/>
            <w:tcBorders>
              <w:top w:val="nil" w:sz="4" w:color="000000"/>
              <w:left w:val="nil" w:sz="4" w:color="000000"/>
              <w:bottom w:val="nil" w:sz="4" w:color="000000"/>
              <w:right w:val="nil" w:sz="4" w:color="000000"/>
            </w:tcBorders>
          </w:tcPr>
          <w:p>
            <w:pPr>
              <w:jc w:val="center"/>
            </w:pPr>
            <w:r>
              <w:rPr>
                <w:rFonts w:ascii="Times New Roman" w:hAnsi="Times New Roman"/>
                <w:sz w:val="18"/>
              </w:rPr>
              <w:t>0.796±0.025</w:t>
            </w:r>
          </w:p>
        </w:tc>
      </w:tr>
      <w:tr>
        <w:tc>
          <w:tcPr>
            <w:tcW w:type="dxa" w:w="1440"/>
            <w:tcBorders>
              <w:top w:val="nil" w:sz="4" w:color="000000"/>
              <w:left w:val="nil" w:sz="4" w:color="000000"/>
              <w:bottom w:val="nil" w:sz="4" w:color="000000"/>
              <w:right w:val="nil" w:sz="4" w:color="000000"/>
            </w:tcBorders>
            <w:tcBorders>
              <w:bottom w:val="single" w:sz="12" w:color="000000"/>
            </w:tcBorders>
          </w:tcPr>
          <w:p>
            <w:pPr>
              <w:jc w:val="center"/>
            </w:pPr>
            <w:r>
              <w:rPr>
                <w:rFonts w:ascii="Times New Roman" w:hAnsi="Times New Roman"/>
                <w:sz w:val="18"/>
              </w:rPr>
              <w:t>肌纤维横截面积</w:t>
            </w:r>
          </w:p>
        </w:tc>
        <w:tc>
          <w:tcPr>
            <w:tcW w:type="dxa" w:w="1440"/>
            <w:tcBorders>
              <w:top w:val="nil" w:sz="4" w:color="000000"/>
              <w:left w:val="nil" w:sz="4" w:color="000000"/>
              <w:bottom w:val="nil" w:sz="4" w:color="000000"/>
              <w:right w:val="nil" w:sz="4" w:color="000000"/>
            </w:tcBorders>
            <w:tcBorders>
              <w:bottom w:val="single" w:sz="12" w:color="000000"/>
            </w:tcBorders>
          </w:tcPr>
          <w:p>
            <w:pPr>
              <w:jc w:val="center"/>
            </w:pPr>
            <w:r>
              <w:rPr>
                <w:rFonts w:ascii="Times New Roman" w:hAnsi="Times New Roman"/>
                <w:sz w:val="18"/>
              </w:rPr>
              <w:t>3857.7±182.6</w:t>
            </w:r>
          </w:p>
        </w:tc>
        <w:tc>
          <w:tcPr>
            <w:tcW w:type="dxa" w:w="1440"/>
            <w:tcBorders>
              <w:top w:val="nil" w:sz="4" w:color="000000"/>
              <w:left w:val="nil" w:sz="4" w:color="000000"/>
              <w:bottom w:val="nil" w:sz="4" w:color="000000"/>
              <w:right w:val="nil" w:sz="4" w:color="000000"/>
            </w:tcBorders>
            <w:tcBorders>
              <w:bottom w:val="single" w:sz="12" w:color="000000"/>
            </w:tcBorders>
          </w:tcPr>
          <w:p>
            <w:pPr>
              <w:jc w:val="center"/>
            </w:pPr>
            <w:r>
              <w:rPr>
                <w:rFonts w:ascii="Times New Roman" w:hAnsi="Times New Roman"/>
                <w:sz w:val="18"/>
              </w:rPr>
              <w:t>2965.2±256.9</w:t>
            </w:r>
          </w:p>
        </w:tc>
        <w:tc>
          <w:tcPr>
            <w:tcW w:type="dxa" w:w="1440"/>
            <w:tcBorders>
              <w:top w:val="nil" w:sz="4" w:color="000000"/>
              <w:left w:val="nil" w:sz="4" w:color="000000"/>
              <w:bottom w:val="nil" w:sz="4" w:color="000000"/>
              <w:right w:val="nil" w:sz="4" w:color="000000"/>
            </w:tcBorders>
            <w:tcBorders>
              <w:bottom w:val="single" w:sz="12" w:color="000000"/>
            </w:tcBorders>
          </w:tcPr>
          <w:p>
            <w:pPr>
              <w:jc w:val="center"/>
            </w:pPr>
            <w:r>
              <w:rPr>
                <w:rFonts w:ascii="Times New Roman" w:hAnsi="Times New Roman"/>
                <w:sz w:val="18"/>
              </w:rPr>
              <w:t>3218.7±369.2</w:t>
            </w:r>
          </w:p>
        </w:tc>
        <w:tc>
          <w:tcPr>
            <w:tcW w:type="dxa" w:w="1440"/>
            <w:tcBorders>
              <w:top w:val="nil" w:sz="4" w:color="000000"/>
              <w:left w:val="nil" w:sz="4" w:color="000000"/>
              <w:bottom w:val="nil" w:sz="4" w:color="000000"/>
              <w:right w:val="nil" w:sz="4" w:color="000000"/>
            </w:tcBorders>
            <w:tcBorders>
              <w:bottom w:val="single" w:sz="12" w:color="000000"/>
            </w:tcBorders>
          </w:tcPr>
          <w:p>
            <w:pPr>
              <w:jc w:val="center"/>
            </w:pPr>
            <w:r>
              <w:rPr>
                <w:rFonts w:ascii="Times New Roman" w:hAnsi="Times New Roman"/>
                <w:sz w:val="18"/>
              </w:rPr>
              <w:t>3836.0±165.0</w:t>
            </w:r>
          </w:p>
        </w:tc>
        <w:tc>
          <w:tcPr>
            <w:tcW w:type="dxa" w:w="1440"/>
            <w:tcBorders>
              <w:top w:val="nil" w:sz="4" w:color="000000"/>
              <w:left w:val="nil" w:sz="4" w:color="000000"/>
              <w:bottom w:val="nil" w:sz="4" w:color="000000"/>
              <w:right w:val="nil" w:sz="4" w:color="000000"/>
            </w:tcBorders>
            <w:tcBorders>
              <w:bottom w:val="single" w:sz="12" w:color="000000"/>
            </w:tcBorders>
          </w:tcPr>
          <w:p>
            <w:pPr>
              <w:jc w:val="center"/>
            </w:pPr>
            <w:r>
              <w:rPr>
                <w:rFonts w:ascii="Times New Roman" w:hAnsi="Times New Roman"/>
                <w:sz w:val="18"/>
              </w:rPr>
              <w:t>2894.0±113.6</w:t>
            </w:r>
          </w:p>
        </w:tc>
      </w:tr>
    </w:tbl>
    <w:p/>
    <w:p>
      <w:pPr>
        <w:pStyle w:val="Heading2"/>
      </w:pPr>
      <w:r>
        <w:t>三、Meta分析用数据（RevMan录入）</w:t>
      </w:r>
    </w:p>
    <w:p>
      <w:r>
        <w:t>实验组 vs 对照组(模型组1)，n=7/组</w:t>
      </w:r>
    </w:p>
    <w:p/>
    <w:p>
      <w:pPr>
        <w:pStyle w:val="Heading3"/>
      </w:pPr>
      <w:r>
        <w:t>1. 体质量 (Body Weight) - 添加到"2 weeks"亚组</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18"/>
              </w:rPr>
              <w:t>Study ID</w:t>
            </w:r>
          </w:p>
        </w:tc>
        <w:tc>
          <w:tcPr>
            <w:tcW w:type="dxa" w:w="1234"/>
          </w:tcPr>
          <w:p>
            <w:pPr>
              <w:jc w:val="center"/>
            </w:pPr>
            <w:r>
              <w:rPr>
                <w:b/>
                <w:sz w:val="18"/>
              </w:rPr>
              <w:t>Exp Mean</w:t>
            </w:r>
          </w:p>
        </w:tc>
        <w:tc>
          <w:tcPr>
            <w:tcW w:type="dxa" w:w="1234"/>
          </w:tcPr>
          <w:p>
            <w:pPr>
              <w:jc w:val="center"/>
            </w:pPr>
            <w:r>
              <w:rPr>
                <w:b/>
                <w:sz w:val="18"/>
              </w:rPr>
              <w:t>Exp SD</w:t>
            </w:r>
          </w:p>
        </w:tc>
        <w:tc>
          <w:tcPr>
            <w:tcW w:type="dxa" w:w="1234"/>
          </w:tcPr>
          <w:p>
            <w:pPr>
              <w:jc w:val="center"/>
            </w:pPr>
            <w:r>
              <w:rPr>
                <w:b/>
                <w:sz w:val="18"/>
              </w:rPr>
              <w:t>Exp n</w:t>
            </w:r>
          </w:p>
        </w:tc>
        <w:tc>
          <w:tcPr>
            <w:tcW w:type="dxa" w:w="1234"/>
          </w:tcPr>
          <w:p>
            <w:pPr>
              <w:jc w:val="center"/>
            </w:pPr>
            <w:r>
              <w:rPr>
                <w:b/>
                <w:sz w:val="18"/>
              </w:rPr>
              <w:t>Ctrl Mean</w:t>
            </w:r>
          </w:p>
        </w:tc>
        <w:tc>
          <w:tcPr>
            <w:tcW w:type="dxa" w:w="1234"/>
          </w:tcPr>
          <w:p>
            <w:pPr>
              <w:jc w:val="center"/>
            </w:pPr>
            <w:r>
              <w:rPr>
                <w:b/>
                <w:sz w:val="18"/>
              </w:rPr>
              <w:t>Ctrl SD</w:t>
            </w:r>
          </w:p>
        </w:tc>
        <w:tc>
          <w:tcPr>
            <w:tcW w:type="dxa" w:w="1234"/>
          </w:tcPr>
          <w:p>
            <w:pPr>
              <w:jc w:val="center"/>
            </w:pPr>
            <w:r>
              <w:rPr>
                <w:b/>
                <w:sz w:val="18"/>
              </w:rPr>
              <w:t>Ctrl n</w:t>
            </w:r>
          </w:p>
        </w:tc>
      </w:tr>
      <w:tr>
        <w:tc>
          <w:tcPr>
            <w:tcW w:type="dxa" w:w="1234"/>
          </w:tcPr>
          <w:p>
            <w:pPr>
              <w:jc w:val="center"/>
            </w:pPr>
            <w:r>
              <w:rPr>
                <w:sz w:val="18"/>
              </w:rPr>
              <w:t>Zhang JJ 2025</w:t>
            </w:r>
          </w:p>
        </w:tc>
        <w:tc>
          <w:tcPr>
            <w:tcW w:type="dxa" w:w="1234"/>
          </w:tcPr>
          <w:p>
            <w:pPr>
              <w:jc w:val="center"/>
            </w:pPr>
            <w:r>
              <w:rPr>
                <w:sz w:val="18"/>
              </w:rPr>
              <w:t>24.07</w:t>
            </w:r>
          </w:p>
        </w:tc>
        <w:tc>
          <w:tcPr>
            <w:tcW w:type="dxa" w:w="1234"/>
          </w:tcPr>
          <w:p>
            <w:pPr>
              <w:jc w:val="center"/>
            </w:pPr>
            <w:r>
              <w:rPr>
                <w:sz w:val="18"/>
              </w:rPr>
              <w:t>0.61</w:t>
            </w:r>
          </w:p>
        </w:tc>
        <w:tc>
          <w:tcPr>
            <w:tcW w:type="dxa" w:w="1234"/>
          </w:tcPr>
          <w:p>
            <w:pPr>
              <w:jc w:val="center"/>
            </w:pPr>
            <w:r>
              <w:rPr>
                <w:sz w:val="18"/>
              </w:rPr>
              <w:t>7</w:t>
            </w:r>
          </w:p>
        </w:tc>
        <w:tc>
          <w:tcPr>
            <w:tcW w:type="dxa" w:w="1234"/>
          </w:tcPr>
          <w:p>
            <w:pPr>
              <w:jc w:val="center"/>
            </w:pPr>
            <w:r>
              <w:rPr>
                <w:sz w:val="18"/>
              </w:rPr>
              <w:t>23.63</w:t>
            </w:r>
          </w:p>
        </w:tc>
        <w:tc>
          <w:tcPr>
            <w:tcW w:type="dxa" w:w="1234"/>
          </w:tcPr>
          <w:p>
            <w:pPr>
              <w:jc w:val="center"/>
            </w:pPr>
            <w:r>
              <w:rPr>
                <w:sz w:val="18"/>
              </w:rPr>
              <w:t>0.83</w:t>
            </w:r>
          </w:p>
        </w:tc>
        <w:tc>
          <w:tcPr>
            <w:tcW w:type="dxa" w:w="1234"/>
          </w:tcPr>
          <w:p>
            <w:pPr>
              <w:jc w:val="center"/>
            </w:pPr>
            <w:r>
              <w:rPr>
                <w:sz w:val="18"/>
              </w:rPr>
              <w:t>7</w:t>
            </w:r>
          </w:p>
        </w:tc>
      </w:tr>
      <w:tr>
        <w:tc>
          <w:tcPr>
            <w:tcW w:type="dxa" w:w="1234"/>
          </w:tcPr>
          <w:p>
            <w:pPr>
              <w:jc w:val="center"/>
            </w:pPr>
            <w:r>
              <w:rPr>
                <w:sz w:val="18"/>
              </w:rPr>
              <w:t>Zhang JJ 2025 (2)</w:t>
            </w:r>
          </w:p>
        </w:tc>
        <w:tc>
          <w:tcPr>
            <w:tcW w:type="dxa" w:w="1234"/>
          </w:tcPr>
          <w:p>
            <w:pPr>
              <w:jc w:val="center"/>
            </w:pPr>
            <w:r>
              <w:rPr>
                <w:sz w:val="18"/>
              </w:rPr>
              <w:t>24.32</w:t>
            </w:r>
          </w:p>
        </w:tc>
        <w:tc>
          <w:tcPr>
            <w:tcW w:type="dxa" w:w="1234"/>
          </w:tcPr>
          <w:p>
            <w:pPr>
              <w:jc w:val="center"/>
            </w:pPr>
            <w:r>
              <w:rPr>
                <w:sz w:val="18"/>
              </w:rPr>
              <w:t>1.51</w:t>
            </w:r>
          </w:p>
        </w:tc>
        <w:tc>
          <w:tcPr>
            <w:tcW w:type="dxa" w:w="1234"/>
          </w:tcPr>
          <w:p>
            <w:pPr>
              <w:jc w:val="center"/>
            </w:pPr>
            <w:r>
              <w:rPr>
                <w:sz w:val="18"/>
              </w:rPr>
              <w:t>7</w:t>
            </w:r>
          </w:p>
        </w:tc>
        <w:tc>
          <w:tcPr>
            <w:tcW w:type="dxa" w:w="1234"/>
          </w:tcPr>
          <w:p>
            <w:pPr>
              <w:jc w:val="center"/>
            </w:pPr>
            <w:r>
              <w:rPr>
                <w:sz w:val="18"/>
              </w:rPr>
              <w:t>23.63</w:t>
            </w:r>
          </w:p>
        </w:tc>
        <w:tc>
          <w:tcPr>
            <w:tcW w:type="dxa" w:w="1234"/>
          </w:tcPr>
          <w:p>
            <w:pPr>
              <w:jc w:val="center"/>
            </w:pPr>
            <w:r>
              <w:rPr>
                <w:sz w:val="18"/>
              </w:rPr>
              <w:t>0.83</w:t>
            </w:r>
          </w:p>
        </w:tc>
        <w:tc>
          <w:tcPr>
            <w:tcW w:type="dxa" w:w="1234"/>
          </w:tcPr>
          <w:p>
            <w:pPr>
              <w:jc w:val="center"/>
            </w:pPr>
            <w:r>
              <w:rPr>
                <w:sz w:val="18"/>
              </w:rPr>
              <w:t>7</w:t>
            </w:r>
          </w:p>
        </w:tc>
      </w:tr>
    </w:tbl>
    <w:p/>
    <w:p>
      <w:pPr>
        <w:pStyle w:val="Heading3"/>
      </w:pPr>
      <w:r>
        <w:t>2. 抓力 (Grip Strength) - 添加到"2 weeks"亚组</w:t>
      </w:r>
    </w:p>
    <w:p>
      <w:r>
        <w:rPr>
          <w:b/>
        </w:rPr>
        <w:t>⚠️ 单位换算：原数据kg → g (×1000)</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18"/>
              </w:rPr>
              <w:t>Study ID</w:t>
            </w:r>
          </w:p>
        </w:tc>
        <w:tc>
          <w:tcPr>
            <w:tcW w:type="dxa" w:w="1234"/>
          </w:tcPr>
          <w:p>
            <w:pPr>
              <w:jc w:val="center"/>
            </w:pPr>
            <w:r>
              <w:rPr>
                <w:b/>
                <w:sz w:val="18"/>
              </w:rPr>
              <w:t>Exp Mean(g)</w:t>
            </w:r>
          </w:p>
        </w:tc>
        <w:tc>
          <w:tcPr>
            <w:tcW w:type="dxa" w:w="1234"/>
          </w:tcPr>
          <w:p>
            <w:pPr>
              <w:jc w:val="center"/>
            </w:pPr>
            <w:r>
              <w:rPr>
                <w:b/>
                <w:sz w:val="18"/>
              </w:rPr>
              <w:t>Exp SD</w:t>
            </w:r>
          </w:p>
        </w:tc>
        <w:tc>
          <w:tcPr>
            <w:tcW w:type="dxa" w:w="1234"/>
          </w:tcPr>
          <w:p>
            <w:pPr>
              <w:jc w:val="center"/>
            </w:pPr>
            <w:r>
              <w:rPr>
                <w:b/>
                <w:sz w:val="18"/>
              </w:rPr>
              <w:t>Exp n</w:t>
            </w:r>
          </w:p>
        </w:tc>
        <w:tc>
          <w:tcPr>
            <w:tcW w:type="dxa" w:w="1234"/>
          </w:tcPr>
          <w:p>
            <w:pPr>
              <w:jc w:val="center"/>
            </w:pPr>
            <w:r>
              <w:rPr>
                <w:b/>
                <w:sz w:val="18"/>
              </w:rPr>
              <w:t>Ctrl Mean(g)</w:t>
            </w:r>
          </w:p>
        </w:tc>
        <w:tc>
          <w:tcPr>
            <w:tcW w:type="dxa" w:w="1234"/>
          </w:tcPr>
          <w:p>
            <w:pPr>
              <w:jc w:val="center"/>
            </w:pPr>
            <w:r>
              <w:rPr>
                <w:b/>
                <w:sz w:val="18"/>
              </w:rPr>
              <w:t>Ctrl SD</w:t>
            </w:r>
          </w:p>
        </w:tc>
        <w:tc>
          <w:tcPr>
            <w:tcW w:type="dxa" w:w="1234"/>
          </w:tcPr>
          <w:p>
            <w:pPr>
              <w:jc w:val="center"/>
            </w:pPr>
            <w:r>
              <w:rPr>
                <w:b/>
                <w:sz w:val="18"/>
              </w:rPr>
              <w:t>Ctrl n</w:t>
            </w:r>
          </w:p>
        </w:tc>
      </w:tr>
      <w:tr>
        <w:tc>
          <w:tcPr>
            <w:tcW w:type="dxa" w:w="1234"/>
          </w:tcPr>
          <w:p>
            <w:pPr>
              <w:jc w:val="center"/>
            </w:pPr>
            <w:r>
              <w:rPr>
                <w:sz w:val="18"/>
              </w:rPr>
              <w:t>Zhang JJ 2025</w:t>
            </w:r>
          </w:p>
        </w:tc>
        <w:tc>
          <w:tcPr>
            <w:tcW w:type="dxa" w:w="1234"/>
          </w:tcPr>
          <w:p>
            <w:pPr>
              <w:jc w:val="center"/>
            </w:pPr>
            <w:r>
              <w:rPr>
                <w:sz w:val="18"/>
              </w:rPr>
              <w:t>172.2</w:t>
            </w:r>
          </w:p>
        </w:tc>
        <w:tc>
          <w:tcPr>
            <w:tcW w:type="dxa" w:w="1234"/>
          </w:tcPr>
          <w:p>
            <w:pPr>
              <w:jc w:val="center"/>
            </w:pPr>
            <w:r>
              <w:rPr>
                <w:sz w:val="18"/>
              </w:rPr>
              <w:t>10.98</w:t>
            </w:r>
          </w:p>
        </w:tc>
        <w:tc>
          <w:tcPr>
            <w:tcW w:type="dxa" w:w="1234"/>
          </w:tcPr>
          <w:p>
            <w:pPr>
              <w:jc w:val="center"/>
            </w:pPr>
            <w:r>
              <w:rPr>
                <w:sz w:val="18"/>
              </w:rPr>
              <w:t>7</w:t>
            </w:r>
          </w:p>
        </w:tc>
        <w:tc>
          <w:tcPr>
            <w:tcW w:type="dxa" w:w="1234"/>
          </w:tcPr>
          <w:p>
            <w:pPr>
              <w:jc w:val="center"/>
            </w:pPr>
            <w:r>
              <w:rPr>
                <w:sz w:val="18"/>
              </w:rPr>
              <w:t>170.63</w:t>
            </w:r>
          </w:p>
        </w:tc>
        <w:tc>
          <w:tcPr>
            <w:tcW w:type="dxa" w:w="1234"/>
          </w:tcPr>
          <w:p>
            <w:pPr>
              <w:jc w:val="center"/>
            </w:pPr>
            <w:r>
              <w:rPr>
                <w:sz w:val="18"/>
              </w:rPr>
              <w:t>6.93</w:t>
            </w:r>
          </w:p>
        </w:tc>
        <w:tc>
          <w:tcPr>
            <w:tcW w:type="dxa" w:w="1234"/>
          </w:tcPr>
          <w:p>
            <w:pPr>
              <w:jc w:val="center"/>
            </w:pPr>
            <w:r>
              <w:rPr>
                <w:sz w:val="18"/>
              </w:rPr>
              <w:t>7</w:t>
            </w:r>
          </w:p>
        </w:tc>
      </w:tr>
      <w:tr>
        <w:tc>
          <w:tcPr>
            <w:tcW w:type="dxa" w:w="1234"/>
          </w:tcPr>
          <w:p>
            <w:pPr>
              <w:jc w:val="center"/>
            </w:pPr>
            <w:r>
              <w:rPr>
                <w:sz w:val="18"/>
              </w:rPr>
              <w:t>Zhang JJ 2025 (2)</w:t>
            </w:r>
          </w:p>
        </w:tc>
        <w:tc>
          <w:tcPr>
            <w:tcW w:type="dxa" w:w="1234"/>
          </w:tcPr>
          <w:p>
            <w:pPr>
              <w:jc w:val="center"/>
            </w:pPr>
            <w:r>
              <w:rPr>
                <w:sz w:val="18"/>
              </w:rPr>
              <w:t>180.93</w:t>
            </w:r>
          </w:p>
        </w:tc>
        <w:tc>
          <w:tcPr>
            <w:tcW w:type="dxa" w:w="1234"/>
          </w:tcPr>
          <w:p>
            <w:pPr>
              <w:jc w:val="center"/>
            </w:pPr>
            <w:r>
              <w:rPr>
                <w:sz w:val="18"/>
              </w:rPr>
              <w:t>12.20</w:t>
            </w:r>
          </w:p>
        </w:tc>
        <w:tc>
          <w:tcPr>
            <w:tcW w:type="dxa" w:w="1234"/>
          </w:tcPr>
          <w:p>
            <w:pPr>
              <w:jc w:val="center"/>
            </w:pPr>
            <w:r>
              <w:rPr>
                <w:sz w:val="18"/>
              </w:rPr>
              <w:t>7</w:t>
            </w:r>
          </w:p>
        </w:tc>
        <w:tc>
          <w:tcPr>
            <w:tcW w:type="dxa" w:w="1234"/>
          </w:tcPr>
          <w:p>
            <w:pPr>
              <w:jc w:val="center"/>
            </w:pPr>
            <w:r>
              <w:rPr>
                <w:sz w:val="18"/>
              </w:rPr>
              <w:t>170.63</w:t>
            </w:r>
          </w:p>
        </w:tc>
        <w:tc>
          <w:tcPr>
            <w:tcW w:type="dxa" w:w="1234"/>
          </w:tcPr>
          <w:p>
            <w:pPr>
              <w:jc w:val="center"/>
            </w:pPr>
            <w:r>
              <w:rPr>
                <w:sz w:val="18"/>
              </w:rPr>
              <w:t>6.93</w:t>
            </w:r>
          </w:p>
        </w:tc>
        <w:tc>
          <w:tcPr>
            <w:tcW w:type="dxa" w:w="1234"/>
          </w:tcPr>
          <w:p>
            <w:pPr>
              <w:jc w:val="center"/>
            </w:pPr>
            <w:r>
              <w:rPr>
                <w:sz w:val="18"/>
              </w:rPr>
              <w:t>7</w:t>
            </w:r>
          </w:p>
        </w:tc>
      </w:tr>
    </w:tbl>
    <w:p/>
    <w:p>
      <w:pPr>
        <w:pStyle w:val="Heading3"/>
      </w:pPr>
      <w:r>
        <w:t>3. 肌纤维横截面积 (Muscle Fiber CSA) - 新建亚组到"腓肠肌指数"</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18"/>
              </w:rPr>
              <w:t>Study ID</w:t>
            </w:r>
          </w:p>
        </w:tc>
        <w:tc>
          <w:tcPr>
            <w:tcW w:type="dxa" w:w="1234"/>
          </w:tcPr>
          <w:p>
            <w:pPr>
              <w:jc w:val="center"/>
            </w:pPr>
            <w:r>
              <w:rPr>
                <w:b/>
                <w:sz w:val="18"/>
              </w:rPr>
              <w:t>Exp Mean</w:t>
            </w:r>
          </w:p>
        </w:tc>
        <w:tc>
          <w:tcPr>
            <w:tcW w:type="dxa" w:w="1234"/>
          </w:tcPr>
          <w:p>
            <w:pPr>
              <w:jc w:val="center"/>
            </w:pPr>
            <w:r>
              <w:rPr>
                <w:b/>
                <w:sz w:val="18"/>
              </w:rPr>
              <w:t>Exp SD</w:t>
            </w:r>
          </w:p>
        </w:tc>
        <w:tc>
          <w:tcPr>
            <w:tcW w:type="dxa" w:w="1234"/>
          </w:tcPr>
          <w:p>
            <w:pPr>
              <w:jc w:val="center"/>
            </w:pPr>
            <w:r>
              <w:rPr>
                <w:b/>
                <w:sz w:val="18"/>
              </w:rPr>
              <w:t>Exp n</w:t>
            </w:r>
          </w:p>
        </w:tc>
        <w:tc>
          <w:tcPr>
            <w:tcW w:type="dxa" w:w="1234"/>
          </w:tcPr>
          <w:p>
            <w:pPr>
              <w:jc w:val="center"/>
            </w:pPr>
            <w:r>
              <w:rPr>
                <w:b/>
                <w:sz w:val="18"/>
              </w:rPr>
              <w:t>Ctrl Mean</w:t>
            </w:r>
          </w:p>
        </w:tc>
        <w:tc>
          <w:tcPr>
            <w:tcW w:type="dxa" w:w="1234"/>
          </w:tcPr>
          <w:p>
            <w:pPr>
              <w:jc w:val="center"/>
            </w:pPr>
            <w:r>
              <w:rPr>
                <w:b/>
                <w:sz w:val="18"/>
              </w:rPr>
              <w:t>Ctrl SD</w:t>
            </w:r>
          </w:p>
        </w:tc>
        <w:tc>
          <w:tcPr>
            <w:tcW w:type="dxa" w:w="1234"/>
          </w:tcPr>
          <w:p>
            <w:pPr>
              <w:jc w:val="center"/>
            </w:pPr>
            <w:r>
              <w:rPr>
                <w:b/>
                <w:sz w:val="18"/>
              </w:rPr>
              <w:t>Ctrl n</w:t>
            </w:r>
          </w:p>
        </w:tc>
      </w:tr>
      <w:tr>
        <w:tc>
          <w:tcPr>
            <w:tcW w:type="dxa" w:w="1234"/>
          </w:tcPr>
          <w:p>
            <w:pPr>
              <w:jc w:val="center"/>
            </w:pPr>
            <w:r>
              <w:rPr>
                <w:sz w:val="18"/>
              </w:rPr>
              <w:t>Zhang JJ 2025</w:t>
            </w:r>
          </w:p>
        </w:tc>
        <w:tc>
          <w:tcPr>
            <w:tcW w:type="dxa" w:w="1234"/>
          </w:tcPr>
          <w:p>
            <w:pPr>
              <w:jc w:val="center"/>
            </w:pPr>
            <w:r>
              <w:rPr>
                <w:sz w:val="18"/>
              </w:rPr>
              <w:t>3218.70</w:t>
            </w:r>
          </w:p>
        </w:tc>
        <w:tc>
          <w:tcPr>
            <w:tcW w:type="dxa" w:w="1234"/>
          </w:tcPr>
          <w:p>
            <w:pPr>
              <w:jc w:val="center"/>
            </w:pPr>
            <w:r>
              <w:rPr>
                <w:sz w:val="18"/>
              </w:rPr>
              <w:t>369.23</w:t>
            </w:r>
          </w:p>
        </w:tc>
        <w:tc>
          <w:tcPr>
            <w:tcW w:type="dxa" w:w="1234"/>
          </w:tcPr>
          <w:p>
            <w:pPr>
              <w:jc w:val="center"/>
            </w:pPr>
            <w:r>
              <w:rPr>
                <w:sz w:val="18"/>
              </w:rPr>
              <w:t>7</w:t>
            </w:r>
          </w:p>
        </w:tc>
        <w:tc>
          <w:tcPr>
            <w:tcW w:type="dxa" w:w="1234"/>
          </w:tcPr>
          <w:p>
            <w:pPr>
              <w:jc w:val="center"/>
            </w:pPr>
            <w:r>
              <w:rPr>
                <w:sz w:val="18"/>
              </w:rPr>
              <w:t>2965.22</w:t>
            </w:r>
          </w:p>
        </w:tc>
        <w:tc>
          <w:tcPr>
            <w:tcW w:type="dxa" w:w="1234"/>
          </w:tcPr>
          <w:p>
            <w:pPr>
              <w:jc w:val="center"/>
            </w:pPr>
            <w:r>
              <w:rPr>
                <w:sz w:val="18"/>
              </w:rPr>
              <w:t>256.94</w:t>
            </w:r>
          </w:p>
        </w:tc>
        <w:tc>
          <w:tcPr>
            <w:tcW w:type="dxa" w:w="1234"/>
          </w:tcPr>
          <w:p>
            <w:pPr>
              <w:jc w:val="center"/>
            </w:pPr>
            <w:r>
              <w:rPr>
                <w:sz w:val="18"/>
              </w:rPr>
              <w:t>7</w:t>
            </w:r>
          </w:p>
        </w:tc>
      </w:tr>
      <w:tr>
        <w:tc>
          <w:tcPr>
            <w:tcW w:type="dxa" w:w="1234"/>
          </w:tcPr>
          <w:p>
            <w:pPr>
              <w:jc w:val="center"/>
            </w:pPr>
            <w:r>
              <w:rPr>
                <w:sz w:val="18"/>
              </w:rPr>
              <w:t>Zhang JJ 2025 (2)</w:t>
            </w:r>
          </w:p>
        </w:tc>
        <w:tc>
          <w:tcPr>
            <w:tcW w:type="dxa" w:w="1234"/>
          </w:tcPr>
          <w:p>
            <w:pPr>
              <w:jc w:val="center"/>
            </w:pPr>
            <w:r>
              <w:rPr>
                <w:sz w:val="18"/>
              </w:rPr>
              <w:t>3835.98</w:t>
            </w:r>
          </w:p>
        </w:tc>
        <w:tc>
          <w:tcPr>
            <w:tcW w:type="dxa" w:w="1234"/>
          </w:tcPr>
          <w:p>
            <w:pPr>
              <w:jc w:val="center"/>
            </w:pPr>
            <w:r>
              <w:rPr>
                <w:sz w:val="18"/>
              </w:rPr>
              <w:t>165.04</w:t>
            </w:r>
          </w:p>
        </w:tc>
        <w:tc>
          <w:tcPr>
            <w:tcW w:type="dxa" w:w="1234"/>
          </w:tcPr>
          <w:p>
            <w:pPr>
              <w:jc w:val="center"/>
            </w:pPr>
            <w:r>
              <w:rPr>
                <w:sz w:val="18"/>
              </w:rPr>
              <w:t>7</w:t>
            </w:r>
          </w:p>
        </w:tc>
        <w:tc>
          <w:tcPr>
            <w:tcW w:type="dxa" w:w="1234"/>
          </w:tcPr>
          <w:p>
            <w:pPr>
              <w:jc w:val="center"/>
            </w:pPr>
            <w:r>
              <w:rPr>
                <w:sz w:val="18"/>
              </w:rPr>
              <w:t>2965.22</w:t>
            </w:r>
          </w:p>
        </w:tc>
        <w:tc>
          <w:tcPr>
            <w:tcW w:type="dxa" w:w="1234"/>
          </w:tcPr>
          <w:p>
            <w:pPr>
              <w:jc w:val="center"/>
            </w:pPr>
            <w:r>
              <w:rPr>
                <w:sz w:val="18"/>
              </w:rPr>
              <w:t>256.94</w:t>
            </w:r>
          </w:p>
        </w:tc>
        <w:tc>
          <w:tcPr>
            <w:tcW w:type="dxa" w:w="1234"/>
          </w:tcPr>
          <w:p>
            <w:pPr>
              <w:jc w:val="center"/>
            </w:pPr>
            <w:r>
              <w:rPr>
                <w:sz w:val="18"/>
              </w:rPr>
              <w:t>7</w:t>
            </w:r>
          </w:p>
        </w:tc>
      </w:tr>
    </w:tbl>
    <w:p/>
    <w:p>
      <w:pPr>
        <w:pStyle w:val="Heading2"/>
      </w:pPr>
      <w:r>
        <w:t>四、需要删除的结局</w:t>
      </w:r>
    </w:p>
    <w:p>
      <w:r>
        <w:t>❌ 补中益气人 - C反应蛋白 (CMP-001.04)</w:t>
      </w:r>
    </w:p>
    <w:p/>
    <w:p>
      <w:pPr>
        <w:pStyle w:val="Heading2"/>
      </w:pPr>
      <w:r>
        <w:t>五、SYRCLE偏倚风险评价</w:t>
      </w:r>
    </w:p>
    <w:tbl>
      <w:tblPr>
        <w:tblW w:type="auto" w:w="0"/>
        <w:tblLook w:firstColumn="1" w:firstRow="1" w:lastColumn="0" w:lastRow="0" w:noHBand="0" w:noVBand="1" w:val="04A0"/>
      </w:tblPr>
      <w:tblGrid>
        <w:gridCol w:w="2880"/>
        <w:gridCol w:w="2880"/>
        <w:gridCol w:w="2880"/>
      </w:tblGrid>
      <w:tr>
        <w:tc>
          <w:tcPr>
            <w:tcW w:type="dxa" w:w="2880"/>
          </w:tcPr>
          <w:p>
            <w:r>
              <w:rPr>
                <w:b/>
                <w:sz w:val="18"/>
              </w:rPr>
              <w:t>条目</w:t>
            </w:r>
          </w:p>
        </w:tc>
        <w:tc>
          <w:tcPr>
            <w:tcW w:type="dxa" w:w="2880"/>
          </w:tcPr>
          <w:p>
            <w:r>
              <w:rPr>
                <w:b/>
                <w:sz w:val="18"/>
              </w:rPr>
              <w:t>评价</w:t>
            </w:r>
          </w:p>
        </w:tc>
        <w:tc>
          <w:tcPr>
            <w:tcW w:type="dxa" w:w="2880"/>
          </w:tcPr>
          <w:p>
            <w:r>
              <w:rPr>
                <w:b/>
                <w:sz w:val="18"/>
              </w:rPr>
              <w:t>依据</w:t>
            </w:r>
          </w:p>
        </w:tc>
      </w:tr>
      <w:tr>
        <w:tc>
          <w:tcPr>
            <w:tcW w:type="dxa" w:w="2880"/>
          </w:tcPr>
          <w:p>
            <w:r>
              <w:rPr>
                <w:sz w:val="18"/>
              </w:rPr>
              <w:t>1. 序列产生</w:t>
            </w:r>
          </w:p>
        </w:tc>
        <w:tc>
          <w:tcPr>
            <w:tcW w:type="dxa" w:w="2880"/>
          </w:tcPr>
          <w:p>
            <w:r>
              <w:rPr>
                <w:sz w:val="18"/>
              </w:rPr>
              <w:t>L (低风险)</w:t>
            </w:r>
          </w:p>
        </w:tc>
        <w:tc>
          <w:tcPr>
            <w:tcW w:type="dxa" w:w="2880"/>
          </w:tcPr>
          <w:p>
            <w:r>
              <w:rPr>
                <w:sz w:val="18"/>
              </w:rPr>
              <w:t>随机分组</w:t>
            </w:r>
          </w:p>
        </w:tc>
      </w:tr>
      <w:tr>
        <w:tc>
          <w:tcPr>
            <w:tcW w:type="dxa" w:w="2880"/>
          </w:tcPr>
          <w:p>
            <w:r>
              <w:rPr>
                <w:sz w:val="18"/>
              </w:rPr>
              <w:t>2. 基线特征</w:t>
            </w:r>
          </w:p>
        </w:tc>
        <w:tc>
          <w:tcPr>
            <w:tcW w:type="dxa" w:w="2880"/>
          </w:tcPr>
          <w:p>
            <w:r>
              <w:rPr>
                <w:sz w:val="18"/>
              </w:rPr>
              <w:t>L (低风险)</w:t>
            </w:r>
          </w:p>
        </w:tc>
        <w:tc>
          <w:tcPr>
            <w:tcW w:type="dxa" w:w="2880"/>
          </w:tcPr>
          <w:p>
            <w:r>
              <w:rPr>
                <w:sz w:val="18"/>
              </w:rPr>
              <w:t>各组基线可比</w:t>
            </w:r>
          </w:p>
        </w:tc>
      </w:tr>
      <w:tr>
        <w:tc>
          <w:tcPr>
            <w:tcW w:type="dxa" w:w="2880"/>
          </w:tcPr>
          <w:p>
            <w:r>
              <w:rPr>
                <w:sz w:val="18"/>
              </w:rPr>
              <w:t>3. 分配隐藏</w:t>
            </w:r>
          </w:p>
        </w:tc>
        <w:tc>
          <w:tcPr>
            <w:tcW w:type="dxa" w:w="2880"/>
          </w:tcPr>
          <w:p>
            <w:r>
              <w:rPr>
                <w:sz w:val="18"/>
              </w:rPr>
              <w:t>U (不清楚)</w:t>
            </w:r>
          </w:p>
        </w:tc>
        <w:tc>
          <w:tcPr>
            <w:tcW w:type="dxa" w:w="2880"/>
          </w:tcPr>
          <w:p>
            <w:r>
              <w:rPr>
                <w:sz w:val="18"/>
              </w:rPr>
              <w:t>未描述</w:t>
            </w:r>
          </w:p>
        </w:tc>
      </w:tr>
      <w:tr>
        <w:tc>
          <w:tcPr>
            <w:tcW w:type="dxa" w:w="2880"/>
          </w:tcPr>
          <w:p>
            <w:r>
              <w:rPr>
                <w:sz w:val="18"/>
              </w:rPr>
              <w:t>4. 随机安置</w:t>
            </w:r>
          </w:p>
        </w:tc>
        <w:tc>
          <w:tcPr>
            <w:tcW w:type="dxa" w:w="2880"/>
          </w:tcPr>
          <w:p>
            <w:r>
              <w:rPr>
                <w:sz w:val="18"/>
              </w:rPr>
              <w:t>U (不清楚)</w:t>
            </w:r>
          </w:p>
        </w:tc>
        <w:tc>
          <w:tcPr>
            <w:tcW w:type="dxa" w:w="2880"/>
          </w:tcPr>
          <w:p>
            <w:r>
              <w:rPr>
                <w:sz w:val="18"/>
              </w:rPr>
              <w:t>未描述</w:t>
            </w:r>
          </w:p>
        </w:tc>
      </w:tr>
      <w:tr>
        <w:tc>
          <w:tcPr>
            <w:tcW w:type="dxa" w:w="2880"/>
          </w:tcPr>
          <w:p>
            <w:r>
              <w:rPr>
                <w:sz w:val="18"/>
              </w:rPr>
              <w:t>5. 饲养者盲法</w:t>
            </w:r>
          </w:p>
        </w:tc>
        <w:tc>
          <w:tcPr>
            <w:tcW w:type="dxa" w:w="2880"/>
          </w:tcPr>
          <w:p>
            <w:r>
              <w:rPr>
                <w:sz w:val="18"/>
              </w:rPr>
              <w:t>U (不清楚)</w:t>
            </w:r>
          </w:p>
        </w:tc>
        <w:tc>
          <w:tcPr>
            <w:tcW w:type="dxa" w:w="2880"/>
          </w:tcPr>
          <w:p>
            <w:r>
              <w:rPr>
                <w:sz w:val="18"/>
              </w:rPr>
              <w:t>未描述</w:t>
            </w:r>
          </w:p>
        </w:tc>
      </w:tr>
      <w:tr>
        <w:tc>
          <w:tcPr>
            <w:tcW w:type="dxa" w:w="2880"/>
          </w:tcPr>
          <w:p>
            <w:r>
              <w:rPr>
                <w:sz w:val="18"/>
              </w:rPr>
              <w:t>6. 随机结局评估</w:t>
            </w:r>
          </w:p>
        </w:tc>
        <w:tc>
          <w:tcPr>
            <w:tcW w:type="dxa" w:w="2880"/>
          </w:tcPr>
          <w:p>
            <w:r>
              <w:rPr>
                <w:sz w:val="18"/>
              </w:rPr>
              <w:t>U (不清楚)</w:t>
            </w:r>
          </w:p>
        </w:tc>
        <w:tc>
          <w:tcPr>
            <w:tcW w:type="dxa" w:w="2880"/>
          </w:tcPr>
          <w:p>
            <w:r>
              <w:rPr>
                <w:sz w:val="18"/>
              </w:rPr>
              <w:t>未描述</w:t>
            </w:r>
          </w:p>
        </w:tc>
      </w:tr>
      <w:tr>
        <w:tc>
          <w:tcPr>
            <w:tcW w:type="dxa" w:w="2880"/>
          </w:tcPr>
          <w:p>
            <w:r>
              <w:rPr>
                <w:sz w:val="18"/>
              </w:rPr>
              <w:t>7. 结局评估者盲法</w:t>
            </w:r>
          </w:p>
        </w:tc>
        <w:tc>
          <w:tcPr>
            <w:tcW w:type="dxa" w:w="2880"/>
          </w:tcPr>
          <w:p>
            <w:r>
              <w:rPr>
                <w:sz w:val="18"/>
              </w:rPr>
              <w:t>U (不清楚)</w:t>
            </w:r>
          </w:p>
        </w:tc>
        <w:tc>
          <w:tcPr>
            <w:tcW w:type="dxa" w:w="2880"/>
          </w:tcPr>
          <w:p>
            <w:r>
              <w:rPr>
                <w:sz w:val="18"/>
              </w:rPr>
              <w:t>未描述</w:t>
            </w:r>
          </w:p>
        </w:tc>
      </w:tr>
      <w:tr>
        <w:tc>
          <w:tcPr>
            <w:tcW w:type="dxa" w:w="2880"/>
          </w:tcPr>
          <w:p>
            <w:r>
              <w:rPr>
                <w:sz w:val="18"/>
              </w:rPr>
              <w:t>8. 不完整结局数据</w:t>
            </w:r>
          </w:p>
        </w:tc>
        <w:tc>
          <w:tcPr>
            <w:tcW w:type="dxa" w:w="2880"/>
          </w:tcPr>
          <w:p>
            <w:r>
              <w:rPr>
                <w:sz w:val="18"/>
              </w:rPr>
              <w:t>L (低风险)</w:t>
            </w:r>
          </w:p>
        </w:tc>
        <w:tc>
          <w:tcPr>
            <w:tcW w:type="dxa" w:w="2880"/>
          </w:tcPr>
          <w:p>
            <w:r>
              <w:rPr>
                <w:sz w:val="18"/>
              </w:rPr>
              <w:t>数据完整</w:t>
            </w:r>
          </w:p>
        </w:tc>
      </w:tr>
      <w:tr>
        <w:tc>
          <w:tcPr>
            <w:tcW w:type="dxa" w:w="2880"/>
          </w:tcPr>
          <w:p>
            <w:r>
              <w:rPr>
                <w:sz w:val="18"/>
              </w:rPr>
              <w:t>9. 选择性报告</w:t>
            </w:r>
          </w:p>
        </w:tc>
        <w:tc>
          <w:tcPr>
            <w:tcW w:type="dxa" w:w="2880"/>
          </w:tcPr>
          <w:p>
            <w:r>
              <w:rPr>
                <w:sz w:val="18"/>
              </w:rPr>
              <w:t>L (低风险)</w:t>
            </w:r>
          </w:p>
        </w:tc>
        <w:tc>
          <w:tcPr>
            <w:tcW w:type="dxa" w:w="2880"/>
          </w:tcPr>
          <w:p>
            <w:r>
              <w:rPr>
                <w:sz w:val="18"/>
              </w:rPr>
              <w:t>结局完整报告</w:t>
            </w:r>
          </w:p>
        </w:tc>
      </w:tr>
      <w:tr>
        <w:tc>
          <w:tcPr>
            <w:tcW w:type="dxa" w:w="2880"/>
          </w:tcPr>
          <w:p>
            <w:r>
              <w:rPr>
                <w:sz w:val="18"/>
              </w:rPr>
              <w:t>10. 其他偏倚</w:t>
            </w:r>
          </w:p>
        </w:tc>
        <w:tc>
          <w:tcPr>
            <w:tcW w:type="dxa" w:w="2880"/>
          </w:tcPr>
          <w:p>
            <w:r>
              <w:rPr>
                <w:sz w:val="18"/>
              </w:rPr>
              <w:t>L (低风险)</w:t>
            </w:r>
          </w:p>
        </w:tc>
        <w:tc>
          <w:tcPr>
            <w:tcW w:type="dxa" w:w="2880"/>
          </w:tcPr>
          <w:p>
            <w:r>
              <w:rPr>
                <w:sz w:val="18"/>
              </w:rPr>
              <w:t>无明显其他偏倚</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