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GRADE Evidence Quality Assessment Summary</w:t>
      </w:r>
    </w:p>
    <w:p/>
    <w:p>
      <w:r>
        <w:rPr>
          <w:rFonts w:ascii="Times New Roman" w:hAnsi="Times New Roman"/>
          <w:b/>
          <w:sz w:val="18"/>
        </w:rPr>
        <w:t xml:space="preserve">Note: </w:t>
      </w:r>
      <w:r>
        <w:rPr>
          <w:rFonts w:ascii="Times New Roman" w:hAnsi="Times New Roman"/>
          <w:sz w:val="18"/>
        </w:rPr>
        <w:t>C-reactive protein outcome has been removed from Buzhong Yiqi (Human) group.</w:t>
      </w:r>
    </w:p>
    <w:p>
      <w:r>
        <w:rPr>
          <w:rFonts w:ascii="Times New Roman" w:hAnsi="Times New Roman"/>
          <w:sz w:val="18"/>
        </w:rPr>
        <w:t>Zhang Jingjing 2025 data has been added to Buzhong Yiqi (Mouse) group.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Comparison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Outcome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Studies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SMD [95% CI]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I²</w:t>
            </w:r>
          </w:p>
        </w:tc>
        <w:tc>
          <w:tcPr>
            <w:tcW w:type="dxa" w:w="123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Buzhong Yiqi</w:t>
              <w:br/>
              <w:t>Human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Muscle Mass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1.39 [0.49, 2.29]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87.7%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Muscle Strength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0.41 [0.13, 0.69]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Muscle Function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0.95 [-0.92, 2.83]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96.2%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VERY 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Buzhong Yiqi</w:t>
              <w:br/>
              <w:t>Mouse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Gastrocnemius Mass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2.06 [1.42, 2.69]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Body Weight*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1.70 [0.67, 2.73]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74.4%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Gastrocnemius Index*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1.71 [1.13, 2.28]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Grip Strength*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1.81 [0.77, 2.85]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74.8%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Exhaustive Swimming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1.87 [0.94, 2.81]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64.2%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Muscle Fiber CSA*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2.43 [0.59, 4.27]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85.4%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Shenqi</w:t>
              <w:br/>
              <w:t>Human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SMI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0.64 [0.04, 1.23]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82.3%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Grip Strength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0.07 [-0.17, 0.31]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5-time Sit-to-Stand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-0.19 [-0.43, 0.05]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Bazhen</w:t>
              <w:br/>
              <w:t>Human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Muscle Strength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1.13 [-1.12, 3.38]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98.2%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VERY 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Shenling Baizhu</w:t>
              <w:br/>
              <w:t>Human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SMI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0.61 [-0.34, 1.56]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92.0%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VERY LOW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Grip Strength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0.41 [0.19, 0.63]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MODERATE</w:t>
            </w:r>
          </w:p>
        </w:tc>
      </w:tr>
      <w:tr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Gait Speed</w:t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317</w:t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0.17 [-0.05, 0.39]</w:t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0%</w:t>
            </w:r>
          </w:p>
        </w:tc>
        <w:tc>
          <w:tcPr>
            <w:tcW w:type="dxa" w:w="1234"/>
            <w:tcBorders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LOW</w:t>
            </w:r>
          </w:p>
        </w:tc>
      </w:tr>
    </w:tbl>
    <w:p/>
    <w:p>
      <w:r>
        <w:rPr>
          <w:rFonts w:ascii="Times New Roman" w:hAnsi="Times New Roman"/>
          <w:sz w:val="18"/>
        </w:rPr>
        <w:t>* Updated with Zhang Jingjing 2025 data (unit converted: kg → g for grip strength)</w:t>
      </w:r>
    </w:p>
    <w:p/>
    <w:p>
      <w:r>
        <w:rPr>
          <w:rFonts w:ascii="Times New Roman" w:hAnsi="Times New Roman"/>
          <w:b/>
          <w:sz w:val="18"/>
        </w:rPr>
        <w:t xml:space="preserve">GRADE Levels: </w:t>
      </w:r>
      <w:r>
        <w:rPr>
          <w:rFonts w:ascii="Times New Roman" w:hAnsi="Times New Roman"/>
          <w:sz w:val="18"/>
        </w:rPr>
        <w:t>HIGH (⊕⊕⊕⊕) | MODERATE (⊕⊕⊕○) | LOW (⊕⊕○○) | VERY LOW (⊕○○○)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