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 w:eastAsia="黑体"/>
          <w:b/>
          <w:sz w:val="36"/>
        </w:rPr>
        <w:t>系统评价质量评价报告</w:t>
      </w:r>
    </w:p>
    <w:p>
      <w:pPr>
        <w:spacing w:after="720"/>
        <w:jc w:val="center"/>
      </w:pPr>
      <w:r>
        <w:rPr>
          <w:rFonts w:ascii="Times New Roman" w:hAnsi="Times New Roman" w:eastAsia="宋体"/>
          <w:sz w:val="28"/>
        </w:rPr>
        <w:t>——中医药干预肌少症的Meta分析</w:t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目  录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1  纳入文献基本信息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2  临床研究偏倚风险评价（Cochrane ROB 2.0）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3  动物实验偏倚风险评价（SYRCLE）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4  GRADE证据质量评价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5  结论与建议</w:t>
      </w:r>
    </w:p>
    <w:p>
      <w:r>
        <w:br w:type="page"/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1  纳入文献基本信息</w:t>
      </w:r>
    </w:p>
    <w:p>
      <w:pPr>
        <w:spacing w:line="360" w:lineRule="auto" w:after="120"/>
        <w:ind w:firstLine="425"/>
      </w:pPr>
      <w:r>
        <w:rPr>
          <w:rFonts w:ascii="Times New Roman" w:hAnsi="Times New Roman" w:eastAsia="宋体"/>
          <w:sz w:val="24"/>
        </w:rPr>
        <w:t>本系统评价共纳入13篇文献，其中9篇为临床随机对照试验（RCT），4篇为动物实验研究。研究涉及的中药方剂包括：补中益气汤、参芪膏、八珍汤、参苓白术散。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1.1  临床研究（9篇）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作者（年份）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方剂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样本量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干预时间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温春瑜（2018）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吕罗岩（2021）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陈颖颖（2020）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王蓉芸（2025）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参芪膏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Xiaoyan Li（2025）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参芪膏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梁清月（2019）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八珍汤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214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任璇璇（2016）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八珍汤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王琴（2021）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参苓白术散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  <w:tr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蒋欢欢（2024）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参苓白术散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237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12周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1.2  动物实验（4篇）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作者（年份）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方剂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样本量</w:t>
            </w:r>
          </w:p>
        </w:tc>
        <w:tc>
          <w:tcPr>
            <w:tcW w:type="dxa" w:w="2268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干预时间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付夜平（2025）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36只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范方馨（2020）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40只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4周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王艺（2025）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补中益气汤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35只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2周</w:t>
            </w:r>
          </w:p>
        </w:tc>
      </w:tr>
      <w:tr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朱牧（2013）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加减补中益气汤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8只</w:t>
            </w:r>
          </w:p>
        </w:tc>
        <w:tc>
          <w:tcPr>
            <w:tcW w:type="dxa" w:w="2268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2周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2  临床研究偏倚风险评价（Cochrane ROB 2.0）</w:t>
      </w:r>
    </w:p>
    <w:p>
      <w:pPr>
        <w:spacing w:line="360" w:lineRule="auto" w:after="120"/>
        <w:ind w:firstLine="425"/>
      </w:pPr>
      <w:r>
        <w:rPr>
          <w:rFonts w:ascii="Times New Roman" w:hAnsi="Times New Roman" w:eastAsia="宋体"/>
          <w:sz w:val="24"/>
        </w:rPr>
        <w:t>采用Cochrane偏倚风险评估工具2.0对9篇临床RCT进行方法学质量评价。评价结果显示，大多数研究在随机序列生成方面为低风险，但分配隐藏和盲法实施情况报告不清。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2.1  评价结果汇总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低风险：7篇研究在随机序列生成方面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不清楚：大多数研究未报告分配隐藏和盲法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高风险：无</w:t>
      </w:r>
    </w:p>
    <w:p>
      <w:r>
        <w:br w:type="page"/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3  动物实验偏倚风险评价（SYRCLE）</w:t>
      </w:r>
    </w:p>
    <w:p>
      <w:pPr>
        <w:spacing w:line="360" w:lineRule="auto" w:after="120"/>
        <w:ind w:firstLine="425"/>
      </w:pPr>
      <w:r>
        <w:rPr>
          <w:rFonts w:ascii="Times New Roman" w:hAnsi="Times New Roman" w:eastAsia="宋体"/>
          <w:sz w:val="24"/>
        </w:rPr>
        <w:t>采用SYRCLE偏倚风险评估工具对4篇动物实验进行方法学质量评价。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3.1  纳入动物实验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付夜平（2025）：SD大鼠，36只，8周干预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范方馨（2020）：SD大鼠，40只，4周干预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王艺（2025）：SD大鼠，35只，2周干预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朱牧（2013）：小鼠，8只，2周干预（失重性肌萎缩模型）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3.2  评价结果汇总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所有研究均报告了随机分组方法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基线特征在各组间相似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分配隐藏和盲法实施情况报告不清</w:t>
      </w:r>
    </w:p>
    <w:p>
      <w:r>
        <w:br w:type="page"/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4  GRADE证据质量评价</w:t>
      </w:r>
    </w:p>
    <w:p>
      <w:pPr>
        <w:spacing w:line="360" w:lineRule="auto" w:after="120"/>
        <w:ind w:firstLine="425"/>
      </w:pPr>
      <w:r>
        <w:rPr>
          <w:rFonts w:ascii="Times New Roman" w:hAnsi="Times New Roman" w:eastAsia="宋体"/>
          <w:sz w:val="24"/>
        </w:rPr>
        <w:t>采用GRADE方法对证据体的整体质量进行评价。结果显示，当前证据质量为低至极低，主要降级原因包括偏倚风险、研究间异质性和结果不精确。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4.1  证据等级汇总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结局指标</w:t>
            </w:r>
          </w:p>
        </w:tc>
        <w:tc>
          <w:tcPr>
            <w:tcW w:type="dxa" w:w="3024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证据等级</w:t>
            </w:r>
          </w:p>
        </w:tc>
        <w:tc>
          <w:tcPr>
            <w:tcW w:type="dxa" w:w="3024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主要降级原因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肌肉质量（SMI/ASMI）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 低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偏倚风险、异质性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肌肉力量（握力）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 低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偏倚风险、异质性</w:t>
            </w:r>
          </w:p>
        </w:tc>
      </w:tr>
      <w:tr>
        <w:tc>
          <w:tcPr>
            <w:tcW w:type="dxa" w:w="3024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肌肉功能（步速）</w:t>
            </w:r>
          </w:p>
        </w:tc>
        <w:tc>
          <w:tcPr>
            <w:tcW w:type="dxa" w:w="3024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 低</w:t>
            </w:r>
          </w:p>
        </w:tc>
        <w:tc>
          <w:tcPr>
            <w:tcW w:type="dxa" w:w="3024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偏倚风险、异质性、不精确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Times New Roman" w:hAnsi="Times New Roman" w:eastAsia="黑体"/>
          <w:b/>
          <w:sz w:val="28"/>
        </w:rPr>
        <w:t>5  结论与建议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5.1  主要发现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中医药干预可改善肌少症患者的肌肉质量（MD 0.23–0.99 kg/m²）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中医药干预可改善肌肉力量（MD 0.51–2.63 kg）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中医药干预对肌肉功能的改善效果尚不确定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动物实验（4篇）显示补中益气汤可改善大鼠/小鼠肌肉相关指标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朱牧2013研究显示加减补中益气汤对失重性肌萎缩有干预作用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5.2  证据局限性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大多数研究未报告分配隐藏和盲法实施情况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研究间异质性较大（I² &gt; 50%）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部分结果未达到统计学显著性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sz w:val="24"/>
        </w:rPr>
        <w:t>• 纳入研究数量有限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5.3  建议</w:t>
      </w:r>
    </w:p>
    <w:p>
      <w:pPr>
        <w:spacing w:line="360" w:lineRule="auto" w:after="120"/>
        <w:ind w:firstLine="425"/>
      </w:pPr>
      <w:r>
        <w:rPr>
          <w:rFonts w:ascii="Times New Roman" w:hAnsi="Times New Roman" w:eastAsia="宋体"/>
          <w:sz w:val="24"/>
        </w:rPr>
        <w:t>基于当前低质量证据，中医药干预肌少症可能有效，但证据的可靠性有限。建议开展更多设计严谨、样本量充足、盲法实施完善的高质量随机对照试验，以提供更可靠的证据支持临床决策。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