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Times New Roman" w:hAnsi="Times New Roman"/>
          <w:b/>
          <w:sz w:val="24"/>
        </w:rPr>
        <w:t xml:space="preserve">Table 2  </w:t>
      </w:r>
      <w:r>
        <w:rPr>
          <w:rFonts w:ascii="Times New Roman" w:hAnsi="Times New Roman"/>
          <w:sz w:val="24"/>
        </w:rPr>
        <w:t>Quality of evidence by TCM formula (GRADE assessment)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2835"/>
            <w:vAlign w:val="center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Outcomes</w:t>
            </w:r>
          </w:p>
        </w:tc>
        <w:tc>
          <w:tcPr>
            <w:tcW w:type="dxa" w:w="5102"/>
            <w:vAlign w:val="center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Illustrative comparative risks (95% CI)</w:t>
            </w:r>
          </w:p>
        </w:tc>
        <w:tc>
          <w:tcPr>
            <w:tcW w:type="dxa" w:w="2268"/>
            <w:vAlign w:val="center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No. of participants (studies)</w:t>
            </w:r>
          </w:p>
        </w:tc>
        <w:tc>
          <w:tcPr>
            <w:tcW w:type="dxa" w:w="2268"/>
            <w:vAlign w:val="center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Quality (GRADE)</w:t>
            </w:r>
          </w:p>
        </w:tc>
        <w:tc>
          <w:tcPr>
            <w:tcW w:type="dxa" w:w="1701"/>
            <w:vAlign w:val="center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Comments</w:t>
            </w:r>
          </w:p>
        </w:tc>
      </w:tr>
      <w:tr>
        <w:tc>
          <w:tcPr>
            <w:tcW w:type="dxa" w:w="14174"/>
            <w:gridSpan w:val="5"/>
            <w:vAlign w:val="center"/>
            <w:shd w:fill="F2F2F2"/>
          </w:tcPr>
          <w:p>
            <w:pPr>
              <w:jc w:val="left"/>
            </w:pPr>
            <w:r>
              <w:rPr>
                <w:rFonts w:ascii="Times New Roman" w:hAnsi="Times New Roman" w:eastAsia="宋体"/>
                <w:b/>
                <w:i/>
                <w:sz w:val="18"/>
              </w:rPr>
              <w:t>Buzhong Yiqi Decoction (Human studies)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Muscle mass (ASMI/RASM)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MD 0.99 higher (0.55 to 1.43)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200 (3 RCTs)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⊕⊕○○ LOW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I²=80%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Muscle strength (grip strength)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MD 2.14 higher (0.04 to 4.25)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200 (3 RCTs)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⊕⊕○○ LOW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I²=50%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Muscle function (gait speed)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MD 0.09 higher (−0.09 to 0.27)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140 (2 RCTs)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⊕○○○ VERY LOW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I²=97%</w:t>
            </w:r>
          </w:p>
        </w:tc>
      </w:tr>
      <w:tr>
        <w:tc>
          <w:tcPr>
            <w:tcW w:type="dxa" w:w="14174"/>
            <w:gridSpan w:val="5"/>
            <w:vAlign w:val="center"/>
            <w:shd w:fill="F2F2F2"/>
          </w:tcPr>
          <w:p>
            <w:pPr>
              <w:jc w:val="left"/>
            </w:pPr>
            <w:r>
              <w:rPr>
                <w:rFonts w:ascii="Times New Roman" w:hAnsi="Times New Roman" w:eastAsia="宋体"/>
                <w:b/>
                <w:i/>
                <w:sz w:val="18"/>
              </w:rPr>
              <w:t>Buzhong Yiqi Decoction (Animal studies) - Updated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Gastrocnemius muscle mass (g)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MD 0.42 higher (0.25 to 0.60)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72 (4 studies)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⊕⊕○○ LOW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I²=65%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Grip strength (g)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MD 240.01 higher (200.82 to 279.20)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74 (5 studies)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⊕⊕⊕○ MODERATE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I²=0%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Exhaustive swimming time (s)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MD 202.86 higher (128.65 to 277.06)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90 (6 studies)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⊕⊕○○ LOW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I²=66%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Gastrocnemius muscle index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MD 0.06 higher (0.04 to 0.07)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36 (4 studies)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⊕⊕⊕○ MODERATE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I²=0%</w:t>
            </w:r>
          </w:p>
        </w:tc>
      </w:tr>
      <w:tr>
        <w:tc>
          <w:tcPr>
            <w:tcW w:type="dxa" w:w="14174"/>
            <w:gridSpan w:val="5"/>
            <w:vAlign w:val="center"/>
            <w:shd w:fill="F2F2F2"/>
          </w:tcPr>
          <w:p>
            <w:pPr>
              <w:jc w:val="left"/>
            </w:pPr>
            <w:r>
              <w:rPr>
                <w:rFonts w:ascii="Times New Roman" w:hAnsi="Times New Roman" w:eastAsia="宋体"/>
                <w:b/>
                <w:i/>
                <w:sz w:val="18"/>
              </w:rPr>
              <w:t>Shenqi Paste (Human studies)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Muscle mass (SMI)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MD 0.47 higher (0.01 to 0.93)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267 (2 RCTs)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⊕⊕○○ LOW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I²=86%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Muscle strength (grip strength)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MD 0.51 higher (−1.12 to 2.15)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267 (2 RCTs)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⊕○○○ VERY LOW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NS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Muscle function (FTSST)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MD 0.88 lower (−1.90 to 0.14)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267 (2 RCTs)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⊕⊕○○ LOW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NS</w:t>
            </w:r>
          </w:p>
        </w:tc>
      </w:tr>
      <w:tr>
        <w:tc>
          <w:tcPr>
            <w:tcW w:type="dxa" w:w="14174"/>
            <w:gridSpan w:val="5"/>
            <w:vAlign w:val="center"/>
            <w:shd w:fill="F2F2F2"/>
          </w:tcPr>
          <w:p>
            <w:pPr>
              <w:jc w:val="left"/>
            </w:pPr>
            <w:r>
              <w:rPr>
                <w:rFonts w:ascii="Times New Roman" w:hAnsi="Times New Roman" w:eastAsia="宋体"/>
                <w:b/>
                <w:i/>
                <w:sz w:val="18"/>
              </w:rPr>
              <w:t>Bazhen Decoction (Human studies)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Muscle mass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MD 0.66 higher (−0.62 to 1.94)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304 (2 RCTs)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⊕○○○ VERY LOW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I²=99%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Muscle strength (grip strength)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MD 2.63 higher (−2.53 to 7.78)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304 (2 RCTs)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⊕○○○ VERY LOW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I²=98%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Muscle function (gait speed)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MD 0.15 higher (−0.11 to 0.42)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304 (2 RCTs)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⊕○○○ VERY LOW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I²=100%</w:t>
            </w:r>
          </w:p>
        </w:tc>
      </w:tr>
      <w:tr>
        <w:tc>
          <w:tcPr>
            <w:tcW w:type="dxa" w:w="14174"/>
            <w:gridSpan w:val="5"/>
            <w:vAlign w:val="center"/>
            <w:shd w:fill="F2F2F2"/>
          </w:tcPr>
          <w:p>
            <w:pPr>
              <w:jc w:val="left"/>
            </w:pPr>
            <w:r>
              <w:rPr>
                <w:rFonts w:ascii="Times New Roman" w:hAnsi="Times New Roman" w:eastAsia="宋体"/>
                <w:b/>
                <w:i/>
                <w:sz w:val="18"/>
              </w:rPr>
              <w:t>Shenling Baizhu Powder (Human studies)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Muscle mass (SMI)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MD 0.23 higher (−0.09 to 0.55)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317 (2 RCTs)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⊕⊕○○ LOW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I²=91%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Muscle strength (grip strength)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MD 1.65 higher (0.74 to 2.56)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317 (2 RCTs)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⊕⊕⊕○ MODERATE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I²=16%</w:t>
            </w:r>
          </w:p>
        </w:tc>
      </w:tr>
      <w:tr>
        <w:tc>
          <w:tcPr>
            <w:tcW w:type="dxa" w:w="2835"/>
            <w:vAlign w:val="center"/>
            <w:tcBorders>
              <w:bottom w:val="single" w:sz="16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18"/>
              </w:rPr>
              <w:t>Muscle function (gait speed)</w:t>
            </w:r>
          </w:p>
        </w:tc>
        <w:tc>
          <w:tcPr>
            <w:tcW w:type="dxa" w:w="5102"/>
            <w:vAlign w:val="center"/>
            <w:tcBorders>
              <w:bottom w:val="single" w:sz="1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MD 0.01 higher (−0.01 to 0.03)</w:t>
            </w:r>
          </w:p>
        </w:tc>
        <w:tc>
          <w:tcPr>
            <w:tcW w:type="dxa" w:w="2268"/>
            <w:vAlign w:val="center"/>
            <w:tcBorders>
              <w:bottom w:val="single" w:sz="1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317 (2 RCTs)</w:t>
            </w:r>
          </w:p>
        </w:tc>
        <w:tc>
          <w:tcPr>
            <w:tcW w:type="dxa" w:w="2268"/>
            <w:vAlign w:val="center"/>
            <w:tcBorders>
              <w:bottom w:val="single" w:sz="1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⊕⊕○○ LOW</w:t>
            </w:r>
          </w:p>
        </w:tc>
        <w:tc>
          <w:tcPr>
            <w:tcW w:type="dxa" w:w="1701"/>
            <w:vAlign w:val="center"/>
            <w:tcBorders>
              <w:bottom w:val="single" w:sz="1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I²=48%</w:t>
            </w:r>
          </w:p>
        </w:tc>
      </w:tr>
    </w:tbl>
    <w:p/>
    <w:p>
      <w:r>
        <w:rPr>
          <w:rFonts w:ascii="Times New Roman" w:hAnsi="Times New Roman"/>
          <w:b/>
          <w:sz w:val="18"/>
        </w:rPr>
        <w:t xml:space="preserve">GRADE evidence levels: </w:t>
      </w:r>
      <w:r>
        <w:rPr>
          <w:rFonts w:ascii="Times New Roman" w:hAnsi="Times New Roman"/>
          <w:sz w:val="18"/>
        </w:rPr>
        <w:t>⊕⊕⊕⊕ High; ⊕⊕⊕○ Moderate; ⊕⊕○○ Low; ⊕○○○ Very low. NS, not significant.</w:t>
      </w:r>
    </w:p>
    <w:p>
      <w:r>
        <w:rPr>
          <w:rFonts w:ascii="Times New Roman" w:hAnsi="Times New Roman"/>
          <w:b/>
          <w:sz w:val="18"/>
        </w:rPr>
        <w:t xml:space="preserve">Included animal studies: </w:t>
      </w:r>
      <w:r>
        <w:rPr>
          <w:rFonts w:ascii="Times New Roman" w:hAnsi="Times New Roman"/>
          <w:sz w:val="18"/>
        </w:rPr>
        <w:t>Fu Yeping 2025, Fan Fangxin 2020, Wang Yi 2025, Zhu Mu 2013 (newly added).</w:t>
      </w:r>
    </w:p>
    <w:p>
      <w:r>
        <w:rPr>
          <w:rFonts w:ascii="Times New Roman" w:hAnsi="Times New Roman"/>
          <w:b/>
          <w:sz w:val="18"/>
        </w:rPr>
        <w:t xml:space="preserve">Abbreviations: </w:t>
      </w:r>
      <w:r>
        <w:rPr>
          <w:rFonts w:ascii="Times New Roman" w:hAnsi="Times New Roman"/>
          <w:sz w:val="18"/>
        </w:rPr>
        <w:t>SMI, skeletal muscle mass index; ASMI, appendicular skeletal muscle index; RASM, relative appendicular skeletal muscle mass; FTSST, five-times sit-to-stand test; MD, mean difference; CI, confidence interval.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