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4"/>
        </w:rPr>
        <w:t xml:space="preserve">Table 1  </w:t>
      </w:r>
      <w:r>
        <w:rPr>
          <w:rFonts w:ascii="Times New Roman" w:hAnsi="Times New Roman"/>
          <w:sz w:val="24"/>
        </w:rPr>
        <w:t>Summary of findings: Traditional Chinese Medicine for sarcopenia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2835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Outcomes</w:t>
            </w:r>
          </w:p>
        </w:tc>
        <w:tc>
          <w:tcPr>
            <w:tcW w:type="dxa" w:w="6803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Illustrative comparative risks* (95% CI)</w:t>
            </w:r>
          </w:p>
        </w:tc>
        <w:tc>
          <w:tcPr>
            <w:tcW w:type="dxa" w:w="198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No. of participants</w:t>
              <w:br/>
              <w:t>(studies)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Quality of the evidence</w:t>
              <w:br/>
              <w:t>(GRADE)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20"/>
              </w:rPr>
              <w:t>Effects on muscle mass</w:t>
              <w:br/>
              <w:t>(SMI/ASMI/RASM)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The improvement in muscle mass in the TCM groups ranged from MD 0.23 to 0.99 kg/m² higher than control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1088</w:t>
              <w:br/>
              <w:t>(9 RCTs)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</w:t>
              <w:br/>
              <w:t>LOWa,b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20"/>
              </w:rPr>
              <w:t>Effects on muscle strength</w:t>
              <w:br/>
              <w:t>(grip strength)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The improvement in muscle strength in the TCM groups ranged from MD 0.51 to 2.63 kg higher than control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1088</w:t>
              <w:br/>
              <w:t>(9 RCTs)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</w:t>
              <w:br/>
              <w:t>LOWa,b</w:t>
            </w:r>
          </w:p>
        </w:tc>
      </w:tr>
      <w:tr>
        <w:tc>
          <w:tcPr>
            <w:tcW w:type="dxa" w:w="2835"/>
            <w:vAlign w:val="center"/>
            <w:tcBorders>
              <w:bottom w:val="single" w:sz="16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宋体"/>
                <w:sz w:val="20"/>
              </w:rPr>
              <w:t>Effects on muscle function</w:t>
              <w:br/>
              <w:t>(gait speed/FTSST)</w:t>
            </w:r>
          </w:p>
        </w:tc>
        <w:tc>
          <w:tcPr>
            <w:tcW w:type="dxa" w:w="6803"/>
            <w:vAlign w:val="center"/>
            <w:tcBorders>
              <w:bottom w:val="single" w:sz="16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The improvement in muscle function in the TCM groups ranged from MD 0.01 to 0.15 m/s higher than control</w:t>
            </w:r>
          </w:p>
        </w:tc>
        <w:tc>
          <w:tcPr>
            <w:tcW w:type="dxa" w:w="1984"/>
            <w:vAlign w:val="center"/>
            <w:tcBorders>
              <w:bottom w:val="single" w:sz="16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1088</w:t>
              <w:br/>
              <w:t>(9 RCTs)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/>
                <w:sz w:val="20"/>
              </w:rPr>
              <w:t>⊕⊕○○</w:t>
              <w:br/>
              <w:t>LOWa,b,c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 w:eastAsia="宋体"/>
          <w:b/>
          <w:sz w:val="18"/>
        </w:rPr>
        <w:t xml:space="preserve">Note: </w:t>
      </w:r>
      <w:r>
        <w:rPr>
          <w:rFonts w:ascii="Times New Roman" w:hAnsi="Times New Roman" w:eastAsia="宋体"/>
          <w:sz w:val="18"/>
        </w:rPr>
        <w:t>*Effect estimates represent the range of mean differences across different TCM formulas (Buzhong Yiqi Decoction, Shenqi Paste, Bazhen Decoction, Shenling Baizhu Powder).</w:t>
      </w:r>
    </w:p>
    <w:p>
      <w:pPr>
        <w:spacing w:after="120" w:line="240" w:lineRule="auto"/>
      </w:pPr>
      <w:r>
        <w:rPr>
          <w:rFonts w:ascii="Times New Roman" w:hAnsi="Times New Roman" w:eastAsia="宋体"/>
          <w:b/>
          <w:sz w:val="18"/>
        </w:rPr>
        <w:t xml:space="preserve">GRADE Working Group grades of evidence: </w:t>
      </w:r>
      <w:r>
        <w:rPr>
          <w:rFonts w:ascii="Times New Roman" w:hAnsi="Times New Roman" w:eastAsia="宋体"/>
          <w:sz w:val="18"/>
        </w:rPr>
        <w:t>High quality (⊕⊕⊕⊕): Further research is very unlikely to change our confidence in the estimate of effect. Moderate quality (⊕⊕⊕○): Further research is likely to have an important impact on our confidence in the estimate of effect and may change the estimate. Low quality (⊕⊕○○): Further research is very likely to have an important impact on our confidence in the estimate of effect and is likely to change the estimate. Very low quality (⊕○○○): We are very uncertain about the estimate.</w:t>
      </w:r>
    </w:p>
    <w:p>
      <w:pPr>
        <w:spacing w:after="120" w:line="240" w:lineRule="auto"/>
      </w:pPr>
      <w:r>
        <w:rPr>
          <w:rFonts w:ascii="Times New Roman" w:hAnsi="Times New Roman" w:eastAsia="宋体"/>
          <w:b/>
          <w:sz w:val="18"/>
        </w:rPr>
        <w:t xml:space="preserve">Downgrading reasons: </w:t>
      </w:r>
      <w:r>
        <w:rPr>
          <w:rFonts w:ascii="Times New Roman" w:hAnsi="Times New Roman" w:eastAsia="宋体"/>
          <w:sz w:val="18"/>
        </w:rPr>
        <w:t>aRisk of bias: Most studies did not report allocation concealment and blinding. bInconsistency: Substantial heterogeneity across studies (I² &gt; 50%). cImprecision: Some results did not reach statistical significance.</w:t>
      </w:r>
    </w:p>
    <w:p>
      <w:pPr>
        <w:spacing w:after="120" w:line="240" w:lineRule="auto"/>
      </w:pPr>
      <w:r>
        <w:rPr>
          <w:rFonts w:ascii="Times New Roman" w:hAnsi="Times New Roman" w:eastAsia="宋体"/>
          <w:b/>
          <w:sz w:val="18"/>
        </w:rPr>
        <w:t xml:space="preserve">Abbreviations: </w:t>
      </w:r>
      <w:r>
        <w:rPr>
          <w:rFonts w:ascii="Times New Roman" w:hAnsi="Times New Roman" w:eastAsia="宋体"/>
          <w:sz w:val="18"/>
        </w:rPr>
        <w:t>SMI, skeletal muscle mass index; ASMI, appendicular skeletal muscle index; RASM, relative appendicular skeletal muscle mass; FTSST, five-times sit-to-stand test; TCM, Traditional Chinese Medicine; MD, mean difference; CI, confidence interval; RCT, randomized controlled trial.</w:t>
      </w:r>
    </w:p>
    <w:sectPr w:rsidR="00FC693F" w:rsidRPr="0006063C" w:rsidSect="00034616">
      <w:pgSz w:w="16838" w:h="11906" w:orient="landscape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