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480" w:lineRule="auto" w:after="0" w:before="0"/>
      </w:pPr>
      <w:r>
        <w:t xml:space="preserve">待作者补信息清单（Frontiers in Psychology 修回，稿件号 1308143）</w:t>
      </w:r>
    </w:p>
    <w:p>
      <w:pPr>
        <w:spacing w:line="480" w:lineRule="auto" w:after="0" w:before="0"/>
      </w:pPr>
      <w:r>
        <w:rPr>
          <w:rFonts w:ascii="Times New Roman" w:hAnsi="Times New Roman" w:eastAsia="宋体"/>
          <w:color w:val="000000"/>
          <w:sz w:val="24"/>
        </w:rPr>
        <w:t xml:space="preserve">下列信息无法从数据或原始记录中确定，须由作者填写后替换稿件中的占位表述。每条均注明在稿件中的位置。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374"/>
        <w:gridCol w:w="1872"/>
        <w:gridCol w:w="2620"/>
        <w:gridCol w:w="4494"/>
      </w:tblGrid>
      <w:tr>
        <w:tc>
          <w:tcPr>
            <w:tcW w:type="dxa" w:w="37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待补项</w:t>
            </w:r>
          </w:p>
        </w:tc>
        <w:tc>
          <w:tcPr>
            <w:tcW w:type="dxa" w:w="2620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稿件位置</w:t>
            </w:r>
          </w:p>
        </w:tc>
        <w:tc>
          <w:tcPr>
            <w:tcW w:type="dxa" w:w="4494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说明与建议</w:t>
            </w:r>
          </w:p>
        </w:tc>
      </w:tr>
      <w:tr>
        <w:tc>
          <w:tcPr>
            <w:tcW w:type="dxa" w:w="3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W w:type="dxa" w:w="1872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伦理批件号</w:t>
            </w:r>
          </w:p>
        </w:tc>
        <w:tc>
          <w:tcPr>
            <w:tcW w:type="dxa" w:w="26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Methods — Participants；Financial Disclosures</w:t>
            </w:r>
          </w:p>
        </w:tc>
        <w:tc>
          <w:tcPr>
            <w:tcW w:type="dxa" w:w="44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机构：新乡医学院第二附属医院（河南省精神病医院）伦理委员会。需填批件号与批准日期。</w:t>
            </w:r>
          </w:p>
        </w:tc>
      </w:tr>
      <w:tr>
        <w:tc>
          <w:tcPr>
            <w:tcW w:type="dxa" w:w="3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W w:type="dxa" w:w="1872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作者名单、学位、通讯作者及联系方式</w:t>
            </w:r>
          </w:p>
        </w:tc>
        <w:tc>
          <w:tcPr>
            <w:tcW w:type="dxa" w:w="26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稿件首页</w:t>
            </w:r>
          </w:p>
        </w:tc>
        <w:tc>
          <w:tcPr>
            <w:tcW w:type="dxa" w:w="44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稿件现为“see Author Completion Checklist”占位。</w:t>
            </w:r>
          </w:p>
        </w:tc>
      </w:tr>
      <w:tr>
        <w:tc>
          <w:tcPr>
            <w:tcW w:type="dxa" w:w="3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W w:type="dxa" w:w="1872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基金资助与 CRediT 作者贡献</w:t>
            </w:r>
          </w:p>
        </w:tc>
        <w:tc>
          <w:tcPr>
            <w:tcW w:type="dxa" w:w="26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Financial Disclosures</w:t>
            </w:r>
          </w:p>
        </w:tc>
        <w:tc>
          <w:tcPr>
            <w:tcW w:type="dxa" w:w="44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现为占位；需按期刊要求分角色填写。</w:t>
            </w:r>
          </w:p>
        </w:tc>
      </w:tr>
      <w:tr>
        <w:tc>
          <w:tcPr>
            <w:tcW w:type="dxa" w:w="3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W w:type="dxa" w:w="1872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回顾性试验注册号与注册日期</w:t>
            </w:r>
          </w:p>
        </w:tc>
        <w:tc>
          <w:tcPr>
            <w:tcW w:type="dxa" w:w="26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Methods — Outcome hierarchy…；Financial Disclosures</w:t>
            </w:r>
          </w:p>
        </w:tc>
        <w:tc>
          <w:tcPr>
            <w:tcW w:type="dxa" w:w="44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稿件已声明未前瞻注册；需补注册标识与注册日期，并同步到投稿系统。</w:t>
            </w:r>
          </w:p>
        </w:tc>
      </w:tr>
      <w:tr>
        <w:tc>
          <w:tcPr>
            <w:tcW w:type="dxa" w:w="3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W w:type="dxa" w:w="1872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分配隐藏机制</w:t>
            </w:r>
          </w:p>
        </w:tc>
        <w:tc>
          <w:tcPr>
            <w:tcW w:type="dxa" w:w="26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Methods — Randomization and allocation</w:t>
            </w:r>
          </w:p>
        </w:tc>
        <w:tc>
          <w:tcPr>
            <w:tcW w:type="dxa" w:w="44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若确无记录，请确认按现稿表述“未记录且无法重建”定稿；若有随机号表执行细节，请补。</w:t>
            </w:r>
          </w:p>
        </w:tc>
      </w:tr>
      <w:tr>
        <w:tc>
          <w:tcPr>
            <w:tcW w:type="dxa" w:w="3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W w:type="dxa" w:w="1872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电极片尺寸与材料、导电介质</w:t>
            </w:r>
          </w:p>
        </w:tc>
        <w:tc>
          <w:tcPr>
            <w:tcW w:type="dxa" w:w="26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Methods — Procedures</w:t>
            </w:r>
          </w:p>
        </w:tc>
        <w:tc>
          <w:tcPr>
            <w:tcW w:type="dxa" w:w="44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现稿只写“电极膏导电、10-20 命名位点”。需按设备与耗材记录补具体型号/直径/材料。</w:t>
            </w:r>
          </w:p>
        </w:tc>
      </w:tr>
      <w:tr>
        <w:tc>
          <w:tcPr>
            <w:tcW w:type="dxa" w:w="3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W w:type="dxa" w:w="1872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每次治疗的接触与阻抗检查、会话依从性核对方式</w:t>
            </w:r>
          </w:p>
        </w:tc>
        <w:tc>
          <w:tcPr>
            <w:tcW w:type="dxa" w:w="26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Methods — Procedures</w:t>
            </w:r>
          </w:p>
        </w:tc>
        <w:tc>
          <w:tcPr>
            <w:tcW w:type="dxa" w:w="44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现为占位。需说明 14 次完成情况如何逐人核对。</w:t>
            </w:r>
          </w:p>
        </w:tc>
      </w:tr>
      <w:tr>
        <w:tc>
          <w:tcPr>
            <w:tcW w:type="dxa" w:w="3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W w:type="dxa" w:w="1872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住院常规治疗的具体内容</w:t>
            </w:r>
          </w:p>
        </w:tc>
        <w:tc>
          <w:tcPr>
            <w:tcW w:type="dxa" w:w="26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Methods — Routine inpatient care（新增小节）</w:t>
            </w:r>
          </w:p>
        </w:tc>
        <w:tc>
          <w:tcPr>
            <w:tcW w:type="dxa" w:w="44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已写苯二氮䓬类药物替代治疗与常规支持治疗；需补：具体药名与剂量方案、是否有心理干预、是否有其他非药物干预、住院期间是否有其他影响认知的药物。</w:t>
            </w:r>
          </w:p>
        </w:tc>
      </w:tr>
      <w:tr>
        <w:tc>
          <w:tcPr>
            <w:tcW w:type="dxa" w:w="3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W w:type="dxa" w:w="1872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不良事件是否有可提取的结构化记录</w:t>
            </w:r>
          </w:p>
        </w:tc>
        <w:tc>
          <w:tcPr>
            <w:tcW w:type="dxa" w:w="26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Methods — Safety monitoring；Results — Safety and tolerability</w:t>
            </w:r>
          </w:p>
        </w:tc>
        <w:tc>
          <w:tcPr>
            <w:tcW w:type="dxa" w:w="44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现稿如实写明未预设结构化采集。需确认病历回顾能否补充具体事件与发生率；不能则维持现表述。</w:t>
            </w:r>
          </w:p>
        </w:tc>
      </w:tr>
      <w:tr>
        <w:tc>
          <w:tcPr>
            <w:tcW w:type="dxa" w:w="37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10</w:t>
            </w:r>
          </w:p>
        </w:tc>
        <w:tc>
          <w:tcPr>
            <w:tcW w:type="dxa" w:w="1872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公开仓库与永久标识</w:t>
            </w:r>
          </w:p>
        </w:tc>
        <w:tc>
          <w:tcPr>
            <w:tcW w:type="dxa" w:w="2620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Financial Disclosures — Data / Code availability</w:t>
            </w:r>
          </w:p>
        </w:tc>
        <w:tc>
          <w:tcPr>
            <w:tcW w:type="dxa" w:w="4494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GitHub 仓库 Cybing521/hd-tdcs-aud-cognition 现为 private。需确认是否转公开，并补 Zenodo 等永久 DOI。回复信与稿件中的两段文字随此结论切换。</w:t>
            </w:r>
          </w:p>
        </w:tc>
      </w:tr>
      <w:tr>
        <w:tc>
          <w:tcPr>
            <w:tcW w:type="dxa" w:w="37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11</w:t>
            </w:r>
          </w:p>
        </w:tc>
        <w:tc>
          <w:tcPr>
            <w:tcW w:type="dxa" w:w="1872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Reviewer 2 首轮附件的逐条回复</w:t>
            </w:r>
          </w:p>
        </w:tc>
        <w:tc>
          <w:tcPr>
            <w:tcW w:type="dxa" w:w="2620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回复信最后一节</w:t>
            </w:r>
          </w:p>
        </w:tc>
        <w:tc>
          <w:tcPr>
            <w:tcW w:type="dxa" w:w="4494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该附件在审稿系统内以 “Review supporting file” 存在但当前无法打开；取得后需逐条补写。</w:t>
            </w:r>
          </w:p>
        </w:tc>
      </w:tr>
    </w:tbl>
    <w:p>
      <w:pPr>
        <w:spacing w:line="480" w:lineRule="auto" w:after="0" w:before="0"/>
      </w:pPr>
    </w:p>
    <w:p>
      <w:pPr>
        <w:spacing w:line="480" w:lineRule="auto" w:after="0" w:before="0"/>
      </w:pPr>
      <w:r>
        <w:rPr>
          <w:rFonts w:ascii="Times New Roman" w:hAnsi="Times New Roman" w:eastAsia="宋体"/>
          <w:color w:val="000000"/>
          <w:sz w:val="24"/>
        </w:rPr>
        <w:t xml:space="preserve">说明：第 10 项影响 Financial Disclosures 两段的写法（公开仓库版 / 仅按需提供版两套文本已备好，按确认结果切换即可）；第 11 项影响回复信完整性。除以上各条外，本轮修订所引用的全部统计量均已由脚本从去标识数据重算，并已与上一版结果表逐项核对一致（109/109）。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