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480" w:lineRule="auto" w:after="0" w:before="0"/>
      </w:pPr>
      <w:r>
        <w:t xml:space="preserve">Response to Reviewers</w:t>
      </w:r>
    </w:p>
    <w:p>
      <w:pPr>
        <w:spacing w:line="480" w:lineRule="auto" w:after="0" w:before="0"/>
      </w:pPr>
      <w:r>
        <w:rPr>
          <w:rFonts w:ascii="Times New Roman" w:hAnsi="Times New Roman" w:eastAsia="宋体"/>
          <w:color w:val="000000"/>
          <w:sz w:val="24"/>
        </w:rPr>
        <w:t xml:space="preserve">Manuscript: Effects of High-Definition Transcranial Direct Current Stimulation on Cognitive Function in Male Inpatients with Alcohol Dependence: A Randomized Sham-Controlled Trial</w:t>
      </w:r>
    </w:p>
    <w:p>
      <w:pPr>
        <w:spacing w:line="480" w:lineRule="auto" w:after="0" w:before="0"/>
      </w:pPr>
      <w:r>
        <w:rPr>
          <w:rFonts w:ascii="Times New Roman" w:hAnsi="Times New Roman" w:eastAsia="宋体"/>
          <w:color w:val="000000"/>
          <w:sz w:val="24"/>
        </w:rPr>
        <w:t xml:space="preserve">Journal: Frontiers in Psychology — Manuscript ID 1308143</w:t>
      </w:r>
    </w:p>
    <w:p>
      <w:pPr>
        <w:spacing w:line="480" w:lineRule="auto" w:after="0" w:before="0"/>
      </w:pPr>
    </w:p>
    <w:p>
      <w:pPr>
        <w:spacing w:line="480" w:lineRule="auto" w:after="0" w:before="0"/>
      </w:pPr>
      <w:r>
        <w:rPr>
          <w:rFonts w:ascii="Times New Roman" w:hAnsi="Times New Roman" w:eastAsia="宋体"/>
          <w:color w:val="000000"/>
          <w:sz w:val="24"/>
        </w:rPr>
        <w:t xml:space="preserve">We thank the reviewers for the careful reading of our manuscript and for the constructiveness of the comments. The revision below answers each point, and every change is marked in the revised manuscript (Word tracked changes). In summary: we have made the allocation-concealment gap explicit instead of implicit; we have documented exactly how the analysis set was derived and what the record-verification step did and did not change; we have added a worst-case analysis for the three participants without a week-4 assessment, together with permutation tests, bootstrap confidence intervals and a leave-one-participant-out analysis; we have expanded the technical description of the stimulation; and we have added a Methods subsection specifying the routine inpatient treatment that all three arms shared. All reported statistics were recomputed from the individual-level records, and the recomputation reproduces every checked value of the previous version exactly.</w:t>
      </w:r>
    </w:p>
    <w:p>
      <w:pPr>
        <w:pStyle w:val="Heading2"/>
        <w:spacing w:line="480" w:lineRule="auto" w:after="0" w:before="0"/>
      </w:pPr>
      <w:r>
        <w:t xml:space="preserve">Reviewer 2</w:t>
      </w:r>
    </w:p>
    <w:p>
      <w:pPr>
        <w:spacing w:line="480" w:lineRule="auto" w:after="0" w:before="0"/>
      </w:pPr>
      <w:r>
        <w:rPr>
          <w:rFonts w:ascii="Times New Roman" w:hAnsi="Times New Roman" w:eastAsia="宋体"/>
          <w:color w:val="000000"/>
          <w:sz w:val="24"/>
        </w:rPr>
        <w:t xml:space="preserve">We thank Reviewer 2 for the detailed methodological review. The comment raises five specific areas — the integrity of randomization and post-randomization data handling, the choice of analysis population, trial registration and prespecification, statistical methodology, and the technical description of the HD-tDCS intervention. We answer each of them below, and the table at the end of this letter lists where each change appears in the revised manuscript. The comment also refers to a detailed report attached to the original submission; the corresponding entry (“Review supporting file”, reference 1308143) is present in the review system, but the attachment itself was not delivered to us and could not be opened from our side. We therefore ask the editorial office to forward it if it contains further points, and we will respond to each of them without delay.</w:t>
      </w:r>
    </w:p>
    <w:p>
      <w:pPr>
        <w:pStyle w:val="Heading3"/>
        <w:spacing w:line="480" w:lineRule="auto" w:after="0" w:before="0"/>
      </w:pPr>
      <w:r>
        <w:t xml:space="preserve">Point 1. Integrity of randomization and post-randomization data handling</w:t>
      </w:r>
    </w:p>
    <w:p>
      <w:pPr>
        <w:spacing w:line="480" w:lineRule="auto" w:after="0" w:before="0"/>
      </w:pPr>
      <w:r>
        <w:rPr>
          <w:rFonts w:ascii="Times New Roman" w:hAnsi="Times New Roman" w:eastAsia="宋体"/>
          <w:color w:val="000000"/>
          <w:sz w:val="24"/>
        </w:rPr>
        <w:t xml:space="preserve">We agree that this needed to be stated rather than implied, and we have made three changes. First, the Methods now state explicitly that the mechanism used to conceal the upcoming assignment from enrolment staff was not documented in the archived protocol and could not be reconstructed, and that the sequence was therefore not verifiably concealed; this is listed as a trial limitation rather than left to inference. Second, the record-verification procedure is now described in terms of what it did and did not change: each of the five removed rows duplicated a participant who was already represented in the sham arm, so removing them discarded no participant outcome and changed no participant's allocation; the correction changed the number of records per participant, not the set of participants with data. Third, a new supplementary table (Table S1) reconciles the arithmetic of the analysis set step by step: 85 randomized, 3 participants discharged early without a week-4 assessment, 82 records with a week-4 assessment, 5 erroneous active-arm records removed, 1 retained record reassigned to the sham arm, 77 participants in the primary analysis, one record per participant. The same reconciliation is now stated in the Methods and in the Results, and the flow diagram (Figure 1) is consistent with it.</w:t>
      </w:r>
    </w:p>
    <w:p>
      <w:pPr>
        <w:spacing w:line="480" w:lineRule="auto" w:after="0" w:before="0"/>
      </w:pPr>
    </w:p>
    <w:p>
      <w:pPr>
        <w:pStyle w:val="Heading3"/>
        <w:spacing w:line="480" w:lineRule="auto" w:after="0" w:before="0"/>
      </w:pPr>
      <w:r>
        <w:t xml:space="preserve">Point 2. Choice of analysis population</w:t>
      </w:r>
    </w:p>
    <w:p>
      <w:pPr>
        <w:spacing w:line="480" w:lineRule="auto" w:after="0" w:before="0"/>
      </w:pPr>
      <w:r>
        <w:rPr>
          <w:rFonts w:ascii="Times New Roman" w:hAnsi="Times New Roman" w:eastAsia="宋体"/>
          <w:color w:val="000000"/>
          <w:sz w:val="24"/>
        </w:rPr>
        <w:t xml:space="preserve">The analysis set is now defined precisely: it contains every randomized participant who has a week-4 assessment, with one record per participant. The three participants who were discharged early are the only randomized participants without a week-4 assessment, and we no longer describe the analysis set as if it were an intention-to-treat set. To show that these three participants cannot overturn the findings, we added a worst-case analysis: their missing week-4 scores are imputed at progressively larger offsets in the direction unfavourable to the active arm, and the offset at which the active-versus-sham comparison would lose significance is identified (Table S3). That offset is 3.55 standard deviations for TMT-B, 4.0 for VFT and 5.5 for HVLT-R, and at those points the implied scores are outside the range the instruments can take (a negative TMT-B completion time, an HVLT-R score above the 36-point maximum), so no physically possible outcome for these three participants overturns the conclusion. In a deterministic extreme case, assigning the missing active-arm participant the worst observed active-arm score and the two missing sham-arm participants the best observed sham-arm scores, the comparison remains significant for all three primary outcomes (TMT-B P=0.010, VFT P=0.013, HVLT-R P=0.001). We also state why multiple imputation was not used: the three participants' baseline covariates are absent from the de-identified dataset, so no imputation model could be fitted.</w:t>
      </w:r>
    </w:p>
    <w:p>
      <w:pPr>
        <w:spacing w:line="480" w:lineRule="auto" w:after="0" w:before="0"/>
      </w:pPr>
    </w:p>
    <w:p>
      <w:pPr>
        <w:pStyle w:val="Heading3"/>
        <w:spacing w:line="480" w:lineRule="auto" w:after="0" w:before="0"/>
      </w:pPr>
      <w:r>
        <w:t xml:space="preserve">Point 3. Trial registration and prespecification</w:t>
      </w:r>
    </w:p>
    <w:p>
      <w:pPr>
        <w:spacing w:line="480" w:lineRule="auto" w:after="0" w:before="0"/>
      </w:pPr>
      <w:r>
        <w:rPr>
          <w:rFonts w:ascii="Times New Roman" w:hAnsi="Times New Roman" w:eastAsia="宋体"/>
          <w:color w:val="000000"/>
          <w:sz w:val="24"/>
        </w:rPr>
        <w:t xml:space="preserve">We have stated the position plainly rather than leaving it to the reader. The trial was not prospectively registered before enrolment in 2019, no analysis plan was registered or published, and all analyses reported in the manuscript are therefore post hoc with respect to registration. The Methods now state that the outcome hierarchy (TMT-B, VFT and HVLT-R as primary outcomes; MMSE and DST as secondary outcomes) and the analysis framework were fixed before the present re-analysis of the de-identified dataset was run, and that the permutation, bootstrap and worst-case analyses were added during this revision in response to reviewer comments and are identified as such. The retrospective registration identifier and date will be inserted in the manuscript and in the submission system once assigned.</w:t>
      </w:r>
    </w:p>
    <w:p>
      <w:pPr>
        <w:spacing w:line="480" w:lineRule="auto" w:after="0" w:before="0"/>
      </w:pPr>
    </w:p>
    <w:p>
      <w:pPr>
        <w:pStyle w:val="Heading3"/>
        <w:spacing w:line="480" w:lineRule="auto" w:after="0" w:before="0"/>
      </w:pPr>
      <w:r>
        <w:t xml:space="preserve">Point 4. Statistical methodology</w:t>
      </w:r>
    </w:p>
    <w:p>
      <w:pPr>
        <w:spacing w:line="480" w:lineRule="auto" w:after="0" w:before="0"/>
      </w:pPr>
      <w:r>
        <w:rPr>
          <w:rFonts w:ascii="Times New Roman" w:hAnsi="Times New Roman" w:eastAsia="宋体"/>
          <w:color w:val="000000"/>
          <w:sz w:val="24"/>
        </w:rPr>
        <w:t xml:space="preserve">Every statistic in the manuscript was recomputed from the individual-level records in Python (SciPy 1.17, statsmodels 0.14) and cross-checked against the original SPSS 22.0 output; the recomputation reproduces all 109 checked values of the previous version exactly, and the check is deposited with the scripts. The analysis section now describes the family structure explicitly: which P values are FDR-adjusted across the five post-intervention omnibus tests, which families are reported with nominal P values as confirmatory parallel analyses, and which analyses are exploratory. Four robustness analyses were added at revision and are labelled as reviewer-requested: permutation tests (10,000 permutations; the omnibus test permutes all 77 labels, the active-versus-sham contrast uses a restricted permutation within the 48 active and sham participants), bootstrap percentile confidence intervals (10,000 resamples) for the active-minus-sham difference in both post-intervention scores and change scores, a leave-one-participant-out re-analysis over all 77 participants, and the worst-case analysis described above. All agree with the parametric results: permutation P=0.0016, 0.001 and 0.0002 for the active-versus-sham contrast on TMT-B, VFT and HVLT-R, and the bootstrap intervals for the change-score differences exclude zero for all three primary outcomes while including zero for MMSE and DST. A diagnostics table (Table S5) reports Shapiro-Wilk and Levene results and the leave-one-out P ranges.</w:t>
      </w:r>
    </w:p>
    <w:p>
      <w:pPr>
        <w:spacing w:line="480" w:lineRule="auto" w:after="0" w:before="0"/>
      </w:pPr>
    </w:p>
    <w:p>
      <w:pPr>
        <w:pStyle w:val="Heading3"/>
        <w:spacing w:line="480" w:lineRule="auto" w:after="0" w:before="0"/>
      </w:pPr>
      <w:r>
        <w:t xml:space="preserve">Point 5. Technical description of the HD-tDCS intervention</w:t>
      </w:r>
    </w:p>
    <w:p>
      <w:pPr>
        <w:spacing w:line="480" w:lineRule="auto" w:after="0" w:before="0"/>
      </w:pPr>
      <w:r>
        <w:rPr>
          <w:rFonts w:ascii="Times New Roman" w:hAnsi="Times New Roman" w:eastAsia="宋体"/>
          <w:color w:val="000000"/>
          <w:sz w:val="24"/>
        </w:rPr>
        <w:t xml:space="preserve">The Procedures section has been expanded with the parameters requested: a Soterix MXN-9 HD-tES device in direct-current mode; bilateral 4×1 ring montages with the F3 anode and the F4 cathode and the four return electrodes over each hemisphere, named with the standard 10-20 scalp nomenclature; conductive gel rather than saline-soaked sponge pads at the electrode-scalp interface; ±1.0 mA for 20 min once daily for 14 consecutive sessions; continuous direct current throughout each active session; and a sham protocol in which current is applied only during the first and last 30 s of each session, with the ramp periods not disclosed to participants. The electrode size and material and the session-adherence verification procedure are to be completed from the device supply and session records, and are flagged in the Author Completion Checklist rather than guessed.</w:t>
      </w:r>
    </w:p>
    <w:p>
      <w:pPr>
        <w:spacing w:line="480" w:lineRule="auto" w:after="0" w:before="0"/>
      </w:pPr>
    </w:p>
    <w:p>
      <w:pPr>
        <w:pStyle w:val="Heading2"/>
        <w:spacing w:line="480" w:lineRule="auto" w:after="0" w:before="0"/>
      </w:pPr>
      <w:r>
        <w:t xml:space="preserve">Reviewer 3</w:t>
      </w:r>
    </w:p>
    <w:p>
      <w:pPr>
        <w:spacing w:line="480" w:lineRule="auto" w:after="0" w:before="0"/>
      </w:pPr>
      <w:r>
        <w:rPr>
          <w:rFonts w:ascii="Times New Roman" w:hAnsi="Times New Roman" w:eastAsia="宋体"/>
          <w:color w:val="000000"/>
          <w:sz w:val="24"/>
        </w:rPr>
        <w:t xml:space="preserve">We thank Reviewer 3 for the positive assessment of the analyses and for the suggestion to specify the routine procedures, which is a fair and important point: all three arms improved on the cognitive battery during hospitalization, and the routine background care is the context in which that improvement occurred.</w:t>
      </w:r>
    </w:p>
    <w:p>
      <w:pPr>
        <w:pStyle w:val="Heading3"/>
        <w:spacing w:line="480" w:lineRule="auto" w:after="0" w:before="0"/>
      </w:pPr>
      <w:r>
        <w:t xml:space="preserve">Change 1. New Methods subsection “Routine inpatient care”.</w:t>
      </w:r>
    </w:p>
    <w:p>
      <w:pPr>
        <w:spacing w:line="480" w:lineRule="auto" w:after="0" w:before="0"/>
      </w:pPr>
      <w:r>
        <w:rPr>
          <w:rFonts w:ascii="Times New Roman" w:hAnsi="Times New Roman" w:eastAsia="宋体"/>
          <w:color w:val="000000"/>
          <w:sz w:val="24"/>
        </w:rPr>
        <w:t xml:space="preserve">The new subsection states that all three arms received the same background treatment for alcohol dependence, namely benzodiazepine-assisted withdrawal management followed by supportive inpatient care; that no arm received structured cognitive training, neurofeedback or any other neuromodulation during the study period; that the routine-care arm was never exposed to the device and therefore did not receive the additional 20-min device-contact time that the active and sham arms completed on 14 occasions; and that because all three arms improved during hospitalization, the between-arm contrast rather than the within-arm change is the interpretable quantity, with improvement common to all arms reflecting the natural course of early abstinence under routine care. The specific withdrawal medications, dosing schedule and any psychological interventions delivered during hospitalization are to be completed from the ward records and are flagged in the Author Completion Checklist.</w:t>
      </w:r>
    </w:p>
    <w:p>
      <w:pPr>
        <w:pStyle w:val="Heading3"/>
        <w:spacing w:line="480" w:lineRule="auto" w:after="0" w:before="0"/>
      </w:pPr>
      <w:r>
        <w:t xml:space="preserve">Change 2. Discussion.</w:t>
      </w:r>
    </w:p>
    <w:p>
      <w:pPr>
        <w:spacing w:line="480" w:lineRule="auto" w:after="0" w:before="0"/>
      </w:pPr>
      <w:r>
        <w:rPr>
          <w:rFonts w:ascii="Times New Roman" w:hAnsi="Times New Roman" w:eastAsia="宋体"/>
          <w:color w:val="000000"/>
          <w:sz w:val="24"/>
        </w:rPr>
        <w:t xml:space="preserve">The Discussion now states this explicitly and, in addition, is more careful about what the sham-versus-control comparison can support. Because the control arm did not receive matched device-contact time, that comparison cannot separate the effect of the delivered current from any effect of daily device contact; the active-versus-sham contrast, in which both arms received identical device contact, is the estimate that isolates the delivered current. We agree with the reviewer's emphasis that the technique is an adjunct to, and not a replacement for, routine inpatient care, and we have kept that framing in the conclusion.</w:t>
      </w:r>
    </w:p>
    <w:p>
      <w:pPr>
        <w:pStyle w:val="Heading3"/>
        <w:spacing w:line="480" w:lineRule="auto" w:after="0" w:before="0"/>
      </w:pPr>
      <w:r>
        <w:t xml:space="preserve">Change 3. Value to the field.</w:t>
      </w:r>
    </w:p>
    <w:p>
      <w:pPr>
        <w:spacing w:line="480" w:lineRule="auto" w:after="0" w:before="0"/>
      </w:pPr>
      <w:r>
        <w:rPr>
          <w:rFonts w:ascii="Times New Roman" w:hAnsi="Times New Roman" w:eastAsia="宋体"/>
          <w:color w:val="000000"/>
          <w:sz w:val="24"/>
        </w:rPr>
        <w:t xml:space="preserve">We have kept the conclusion scoped to what the trial can support: the adjunctive use of focal bilateral 4×1 HD-tDCS during inpatient detoxification, with preregistered multicenter trials, matched attention controls and relapse follow-up required before the cognitive gains can be said to translate into durable clinical benefit.</w:t>
      </w:r>
    </w:p>
    <w:p>
      <w:pPr>
        <w:pStyle w:val="Heading2"/>
        <w:spacing w:line="480" w:lineRule="auto" w:after="0" w:before="0"/>
      </w:pPr>
      <w:r>
        <w:t xml:space="preserve">Summary of changes and their locations</w:t>
      </w:r>
    </w:p>
    <w:p>
      <w:pPr>
        <w:pStyle w:val="Heading3"/>
        <w:spacing w:line="480" w:lineRule="auto" w:after="0" w:before="0"/>
      </w:pPr>
      <w:r>
        <w:t xml:space="preserve">Location | Change</w:t>
      </w:r>
    </w:p>
    <w:tbl>
      <w:tblPr>
        <w:tblW w:type="dxa" w:w="9360"/>
        <w:tblLayout w:type="fixed"/>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3182"/>
        <w:gridCol w:w="6178"/>
      </w:tblGrid>
      <w:tr>
        <w:tc>
          <w:tcPr>
            <w:tcW w:type="dxa" w:w="3182"/>
            <w:tcBorders>
              <w:top w:val="single" w:sz="12" w:space="0" w:color="000000"/>
              <w:left w:val="nil" w:sz="0" w:space="0" w:color="000000"/>
              <w:bottom w:val="single" w:sz="6" w:space="0" w:color="000000"/>
              <w:right w:val="nil" w:sz="0" w:space="0" w:color="000000"/>
            </w:tcBorders>
          </w:tcPr>
          <w:p>
            <w:pPr>
              <w:spacing w:before="40" w:after="40"/>
              <w:jc w:val="left"/>
            </w:pPr>
            <w:r>
              <w:rPr>
                <w:rFonts w:ascii="Times New Roman" w:hAnsi="Times New Roman" w:eastAsia="宋体"/>
                <w:b/>
                <w:color w:val="000000"/>
                <w:sz w:val="20"/>
              </w:rPr>
              <w:t xml:space="preserve">Location</w:t>
            </w:r>
          </w:p>
        </w:tc>
        <w:tc>
          <w:tcPr>
            <w:tcW w:type="dxa" w:w="6178"/>
            <w:tcBorders>
              <w:top w:val="single" w:sz="12" w:space="0" w:color="000000"/>
              <w:left w:val="nil" w:sz="0" w:space="0" w:color="000000"/>
              <w:bottom w:val="single" w:sz="6" w:space="0" w:color="000000"/>
              <w:right w:val="nil" w:sz="0" w:space="0" w:color="000000"/>
            </w:tcBorders>
          </w:tcPr>
          <w:p>
            <w:pPr>
              <w:spacing w:before="40" w:after="40"/>
              <w:jc w:val="center"/>
            </w:pPr>
            <w:r>
              <w:rPr>
                <w:rFonts w:ascii="Times New Roman" w:hAnsi="Times New Roman" w:eastAsia="宋体"/>
                <w:b/>
                <w:color w:val="000000"/>
                <w:sz w:val="20"/>
              </w:rPr>
              <w:t xml:space="preserve">Change</w:t>
            </w:r>
          </w:p>
        </w:tc>
      </w:tr>
      <w:tr>
        <w:tc>
          <w:tcPr>
            <w:tcW w:type="dxa" w:w="3182"/>
            <w:tcBorders>
              <w:top w:val="nil" w:sz="0" w:space="0" w:color="000000"/>
              <w:left w:val="nil" w:sz="0" w:space="0" w:color="000000"/>
              <w:bottom w:val="nil" w:sz="0" w:space="0" w:color="000000"/>
              <w:right w:val="nil" w:sz="0" w:space="0" w:color="000000"/>
            </w:tcBorders>
          </w:tcPr>
          <w:p>
            <w:pPr>
              <w:spacing w:before="40" w:after="40"/>
              <w:jc w:val="left"/>
            </w:pPr>
            <w:r>
              <w:rPr>
                <w:rFonts w:ascii="Times New Roman" w:hAnsi="Times New Roman" w:eastAsia="宋体"/>
                <w:b w:val="0"/>
                <w:color w:val="000000"/>
                <w:sz w:val="20"/>
              </w:rPr>
              <w:t xml:space="preserve">Abstract, Methods and Results sentences; Highlights</w:t>
            </w:r>
          </w:p>
        </w:tc>
        <w:tc>
          <w:tcPr>
            <w:tcW w:type="dxa" w:w="6178"/>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Analysis set defined as every randomized participant with a week-4 assessment; permutation, bootstrap and worst-case analyses added</w:t>
            </w:r>
          </w:p>
        </w:tc>
      </w:tr>
      <w:tr>
        <w:tc>
          <w:tcPr>
            <w:tcW w:type="dxa" w:w="3182"/>
            <w:tcBorders>
              <w:top w:val="nil" w:sz="0" w:space="0" w:color="000000"/>
              <w:left w:val="nil" w:sz="0" w:space="0" w:color="000000"/>
              <w:bottom w:val="nil" w:sz="0" w:space="0" w:color="000000"/>
              <w:right w:val="nil" w:sz="0" w:space="0" w:color="000000"/>
            </w:tcBorders>
          </w:tcPr>
          <w:p>
            <w:pPr>
              <w:spacing w:before="40" w:after="40"/>
              <w:jc w:val="left"/>
            </w:pPr>
            <w:r>
              <w:rPr>
                <w:rFonts w:ascii="Times New Roman" w:hAnsi="Times New Roman" w:eastAsia="宋体"/>
                <w:b w:val="0"/>
                <w:color w:val="000000"/>
                <w:sz w:val="20"/>
              </w:rPr>
              <w:t xml:space="preserve">Methods — Participants; Supplementary Table S1</w:t>
            </w:r>
          </w:p>
        </w:tc>
        <w:tc>
          <w:tcPr>
            <w:tcW w:type="dxa" w:w="6178"/>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Step-by-step derivation of the analysis set (85 → 82 → 77) and the statement that removing the five erroneous rows discarded no participant outcome</w:t>
            </w:r>
          </w:p>
        </w:tc>
      </w:tr>
      <w:tr>
        <w:tc>
          <w:tcPr>
            <w:tcW w:type="dxa" w:w="3182"/>
            <w:tcBorders>
              <w:top w:val="nil" w:sz="0" w:space="0" w:color="000000"/>
              <w:left w:val="nil" w:sz="0" w:space="0" w:color="000000"/>
              <w:bottom w:val="nil" w:sz="0" w:space="0" w:color="000000"/>
              <w:right w:val="nil" w:sz="0" w:space="0" w:color="000000"/>
            </w:tcBorders>
          </w:tcPr>
          <w:p>
            <w:pPr>
              <w:spacing w:before="40" w:after="40"/>
              <w:jc w:val="left"/>
            </w:pPr>
            <w:r>
              <w:rPr>
                <w:rFonts w:ascii="Times New Roman" w:hAnsi="Times New Roman" w:eastAsia="宋体"/>
                <w:b w:val="0"/>
                <w:color w:val="000000"/>
                <w:sz w:val="20"/>
              </w:rPr>
              <w:t xml:space="preserve">Methods — Randomization and allocation</w:t>
            </w:r>
          </w:p>
        </w:tc>
        <w:tc>
          <w:tcPr>
            <w:tcW w:type="dxa" w:w="6178"/>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Allocation-concealment gap stated explicitly and listed as a limitation</w:t>
            </w:r>
          </w:p>
        </w:tc>
      </w:tr>
      <w:tr>
        <w:tc>
          <w:tcPr>
            <w:tcW w:type="dxa" w:w="3182"/>
            <w:tcBorders>
              <w:top w:val="nil" w:sz="0" w:space="0" w:color="000000"/>
              <w:left w:val="nil" w:sz="0" w:space="0" w:color="000000"/>
              <w:bottom w:val="nil" w:sz="0" w:space="0" w:color="000000"/>
              <w:right w:val="nil" w:sz="0" w:space="0" w:color="000000"/>
            </w:tcBorders>
          </w:tcPr>
          <w:p>
            <w:pPr>
              <w:spacing w:before="40" w:after="40"/>
              <w:jc w:val="left"/>
            </w:pPr>
            <w:r>
              <w:rPr>
                <w:rFonts w:ascii="Times New Roman" w:hAnsi="Times New Roman" w:eastAsia="宋体"/>
                <w:b w:val="0"/>
                <w:color w:val="000000"/>
                <w:sz w:val="20"/>
              </w:rPr>
              <w:t xml:space="preserve">Methods — Procedures</w:t>
            </w:r>
          </w:p>
        </w:tc>
        <w:tc>
          <w:tcPr>
            <w:tcW w:type="dxa" w:w="6178"/>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Expanded technical description: device, DC mode, 4×1 montages, 10-20 nomenclature, gel electrode interface, current, duration, session number, sham ramp protocol</w:t>
            </w:r>
          </w:p>
        </w:tc>
      </w:tr>
      <w:tr>
        <w:tc>
          <w:tcPr>
            <w:tcW w:type="dxa" w:w="3182"/>
            <w:tcBorders>
              <w:top w:val="nil" w:sz="0" w:space="0" w:color="000000"/>
              <w:left w:val="nil" w:sz="0" w:space="0" w:color="000000"/>
              <w:bottom w:val="nil" w:sz="0" w:space="0" w:color="000000"/>
              <w:right w:val="nil" w:sz="0" w:space="0" w:color="000000"/>
            </w:tcBorders>
          </w:tcPr>
          <w:p>
            <w:pPr>
              <w:spacing w:before="40" w:after="40"/>
              <w:jc w:val="left"/>
            </w:pPr>
            <w:r>
              <w:rPr>
                <w:rFonts w:ascii="Times New Roman" w:hAnsi="Times New Roman" w:eastAsia="宋体"/>
                <w:b w:val="0"/>
                <w:color w:val="000000"/>
                <w:sz w:val="20"/>
              </w:rPr>
              <w:t xml:space="preserve">Methods — Routine inpatient care (new)</w:t>
            </w:r>
          </w:p>
        </w:tc>
        <w:tc>
          <w:tcPr>
            <w:tcW w:type="dxa" w:w="6178"/>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Common background treatment, absence of device contact in the routine-care arm, and the interpretation of the common within-arm improvement</w:t>
            </w:r>
          </w:p>
        </w:tc>
      </w:tr>
      <w:tr>
        <w:tc>
          <w:tcPr>
            <w:tcW w:type="dxa" w:w="3182"/>
            <w:tcBorders>
              <w:top w:val="nil" w:sz="0" w:space="0" w:color="000000"/>
              <w:left w:val="nil" w:sz="0" w:space="0" w:color="000000"/>
              <w:bottom w:val="nil" w:sz="0" w:space="0" w:color="000000"/>
              <w:right w:val="nil" w:sz="0" w:space="0" w:color="000000"/>
            </w:tcBorders>
          </w:tcPr>
          <w:p>
            <w:pPr>
              <w:spacing w:before="40" w:after="40"/>
              <w:jc w:val="left"/>
            </w:pPr>
            <w:r>
              <w:rPr>
                <w:rFonts w:ascii="Times New Roman" w:hAnsi="Times New Roman" w:eastAsia="宋体"/>
                <w:b w:val="0"/>
                <w:color w:val="000000"/>
                <w:sz w:val="20"/>
              </w:rPr>
              <w:t xml:space="preserve">Methods — Statistical analysis; Methods — Outcome hierarchy, sample size, and multiple testing</w:t>
            </w:r>
          </w:p>
        </w:tc>
        <w:tc>
          <w:tcPr>
            <w:tcW w:type="dxa" w:w="6178"/>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Descriptions of the added permutation, bootstrap and worst-case analyses; explicit statement of the registration status and of which analyses were added at revision</w:t>
            </w:r>
          </w:p>
        </w:tc>
      </w:tr>
      <w:tr>
        <w:tc>
          <w:tcPr>
            <w:tcW w:type="dxa" w:w="3182"/>
            <w:tcBorders>
              <w:top w:val="nil" w:sz="0" w:space="0" w:color="000000"/>
              <w:left w:val="nil" w:sz="0" w:space="0" w:color="000000"/>
              <w:bottom w:val="nil" w:sz="0" w:space="0" w:color="000000"/>
              <w:right w:val="nil" w:sz="0" w:space="0" w:color="000000"/>
            </w:tcBorders>
          </w:tcPr>
          <w:p>
            <w:pPr>
              <w:spacing w:before="40" w:after="40"/>
              <w:jc w:val="left"/>
            </w:pPr>
            <w:r>
              <w:rPr>
                <w:rFonts w:ascii="Times New Roman" w:hAnsi="Times New Roman" w:eastAsia="宋体"/>
                <w:b w:val="0"/>
                <w:color w:val="000000"/>
                <w:sz w:val="20"/>
              </w:rPr>
              <w:t xml:space="preserve">Results — Robustness of the primary contrasts (new)</w:t>
            </w:r>
          </w:p>
        </w:tc>
        <w:tc>
          <w:tcPr>
            <w:tcW w:type="dxa" w:w="6178"/>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Permutation, bootstrap, leave-one-out and worst-case results; Supplementary Tables S3–S5</w:t>
            </w:r>
          </w:p>
        </w:tc>
      </w:tr>
      <w:tr>
        <w:tc>
          <w:tcPr>
            <w:tcW w:type="dxa" w:w="3182"/>
            <w:tcBorders>
              <w:top w:val="nil" w:sz="0" w:space="0" w:color="000000"/>
              <w:left w:val="nil" w:sz="0" w:space="0" w:color="000000"/>
              <w:bottom w:val="nil" w:sz="0" w:space="0" w:color="000000"/>
              <w:right w:val="nil" w:sz="0" w:space="0" w:color="000000"/>
            </w:tcBorders>
          </w:tcPr>
          <w:p>
            <w:pPr>
              <w:spacing w:before="40" w:after="40"/>
              <w:jc w:val="left"/>
            </w:pPr>
            <w:r>
              <w:rPr>
                <w:rFonts w:ascii="Times New Roman" w:hAnsi="Times New Roman" w:eastAsia="宋体"/>
                <w:b w:val="0"/>
                <w:color w:val="000000"/>
                <w:sz w:val="20"/>
              </w:rPr>
              <w:t xml:space="preserve">Results — first paragraph</w:t>
            </w:r>
          </w:p>
        </w:tc>
        <w:tc>
          <w:tcPr>
            <w:tcW w:type="dxa" w:w="6178"/>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Analysis set description and reference to Supplementary Table S1</w:t>
            </w:r>
          </w:p>
        </w:tc>
      </w:tr>
      <w:tr>
        <w:tc>
          <w:tcPr>
            <w:tcW w:type="dxa" w:w="3182"/>
            <w:tcBorders>
              <w:top w:val="nil" w:sz="0" w:space="0" w:color="000000"/>
              <w:left w:val="nil" w:sz="0" w:space="0" w:color="000000"/>
              <w:bottom w:val="nil" w:sz="0" w:space="0" w:color="000000"/>
              <w:right w:val="nil" w:sz="0" w:space="0" w:color="000000"/>
            </w:tcBorders>
          </w:tcPr>
          <w:p>
            <w:pPr>
              <w:spacing w:before="40" w:after="40"/>
              <w:jc w:val="left"/>
            </w:pPr>
            <w:r>
              <w:rPr>
                <w:rFonts w:ascii="Times New Roman" w:hAnsi="Times New Roman" w:eastAsia="宋体"/>
                <w:b w:val="0"/>
                <w:color w:val="000000"/>
                <w:sz w:val="20"/>
              </w:rPr>
              <w:t xml:space="preserve">Discussion — first and third paragraphs</w:t>
            </w:r>
          </w:p>
        </w:tc>
        <w:tc>
          <w:tcPr>
            <w:tcW w:type="dxa" w:w="6178"/>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The three participants without a week-4 assessment; what the sham-versus-control comparison can and cannot support</w:t>
            </w:r>
          </w:p>
        </w:tc>
      </w:tr>
      <w:tr>
        <w:tc>
          <w:tcPr>
            <w:tcW w:type="dxa" w:w="3182"/>
            <w:tcBorders>
              <w:top w:val="nil" w:sz="0" w:space="0" w:color="000000"/>
              <w:left w:val="nil" w:sz="0" w:space="0" w:color="000000"/>
              <w:bottom w:val="nil" w:sz="0" w:space="0" w:color="000000"/>
              <w:right w:val="nil" w:sz="0" w:space="0" w:color="000000"/>
            </w:tcBorders>
          </w:tcPr>
          <w:p>
            <w:pPr>
              <w:spacing w:before="40" w:after="40"/>
              <w:jc w:val="left"/>
            </w:pPr>
            <w:r>
              <w:rPr>
                <w:rFonts w:ascii="Times New Roman" w:hAnsi="Times New Roman" w:eastAsia="宋体"/>
                <w:b w:val="0"/>
                <w:color w:val="000000"/>
                <w:sz w:val="20"/>
              </w:rPr>
              <w:t xml:space="preserve">Discussion — limitations paragraph</w:t>
            </w:r>
          </w:p>
        </w:tc>
        <w:tc>
          <w:tcPr>
            <w:tcW w:type="dxa" w:w="6178"/>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Allocation concealment, complete-case accounting, and the worst-case analysis added</w:t>
            </w:r>
          </w:p>
        </w:tc>
      </w:tr>
      <w:tr>
        <w:tc>
          <w:tcPr>
            <w:tcW w:type="dxa" w:w="3182"/>
            <w:tcBorders>
              <w:top w:val="nil" w:sz="0" w:space="0" w:color="000000"/>
              <w:left w:val="nil" w:sz="0" w:space="0" w:color="000000"/>
              <w:bottom w:val="single" w:sz="12" w:space="0" w:color="000000"/>
              <w:right w:val="nil" w:sz="0" w:space="0" w:color="000000"/>
            </w:tcBorders>
          </w:tcPr>
          <w:p>
            <w:pPr>
              <w:spacing w:before="40" w:after="40"/>
              <w:jc w:val="left"/>
            </w:pPr>
            <w:r>
              <w:rPr>
                <w:rFonts w:ascii="Times New Roman" w:hAnsi="Times New Roman" w:eastAsia="宋体"/>
                <w:b w:val="0"/>
                <w:color w:val="000000"/>
                <w:sz w:val="20"/>
              </w:rPr>
              <w:t xml:space="preserve">Financial Disclosures — Data availability, Code availability, Trial registration</w:t>
            </w:r>
          </w:p>
        </w:tc>
        <w:tc>
          <w:tcPr>
            <w:tcW w:type="dxa" w:w="6178"/>
            <w:tcBorders>
              <w:top w:val="nil" w:sz="0" w:space="0" w:color="000000"/>
              <w:left w:val="nil" w:sz="0" w:space="0" w:color="000000"/>
              <w:bottom w:val="single" w:sz="12" w:space="0" w:color="000000"/>
              <w:right w:val="nil" w:sz="0" w:space="0" w:color="000000"/>
            </w:tcBorders>
          </w:tcPr>
          <w:p>
            <w:pPr>
              <w:spacing w:before="40" w:after="40"/>
              <w:jc w:val="center"/>
            </w:pPr>
            <w:r>
              <w:rPr>
                <w:rFonts w:ascii="Times New Roman" w:hAnsi="Times New Roman" w:eastAsia="宋体"/>
                <w:b w:val="0"/>
                <w:color w:val="000000"/>
                <w:sz w:val="20"/>
              </w:rPr>
              <w:t xml:space="preserve">Repository and script availability; registration status stated explicitly</w:t>
            </w:r>
          </w:p>
        </w:tc>
      </w:tr>
    </w:tbl>
    <w:p>
      <w:pPr>
        <w:spacing w:line="480" w:lineRule="auto" w:after="0" w:before="0"/>
      </w:pPr>
    </w:p>
    <w:p>
      <w:pPr>
        <w:pStyle w:val="Heading2"/>
        <w:spacing w:line="480" w:lineRule="auto" w:after="0" w:before="0"/>
      </w:pPr>
      <w:r>
        <w:t xml:space="preserve">Request to the editorial office regarding the attached first-round report</w:t>
      </w:r>
    </w:p>
    <w:p>
      <w:pPr>
        <w:spacing w:line="480" w:lineRule="auto" w:after="0" w:before="0"/>
      </w:pPr>
      <w:r>
        <w:rPr>
          <w:rFonts w:ascii="Times New Roman" w:hAnsi="Times New Roman" w:eastAsia="宋体"/>
          <w:color w:val="000000"/>
          <w:sz w:val="24"/>
        </w:rPr>
        <w:t xml:space="preserve">Reviewer 2’s comment refers to a detailed report attached to the original submission. The corresponding entry (“Review supporting file”, reference 1308143) is visible in the review system, but the attachment was not delivered to us and could not be opened from our side. The five areas listed in the comment are answered in full above. If the attached report contains further specific requests, we would be grateful if the editorial office could forward it to us; we will answer every item in it, and can do so quickly.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