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Cover Letter — Brain Stimulation</w:t>
      </w:r>
    </w:p>
    <w:p/>
    <w:p>
      <w:r>
        <w:t>Dear Editor,</w:t>
      </w:r>
    </w:p>
    <w:p>
      <w:r>
        <w:t>We submit the original research article entitled "Effects of High-Definition Transcranial Direct Current Stimulation on Cognitive Function in Male Inpatients with Alcohol Dependence: A Randomized Sham-Controlled Trial" for consideration as an Original Research article in Brain Stimulation.</w:t>
      </w:r>
    </w:p>
    <w:p>
      <w:r>
        <w:t>Why this journal. The study tests a focal neuromodulation montage—bilateral 4×1 HD-tDCS over the DLPFC—in a sham-controlled three-arm inpatient trial, with a prespecified standardized cognitive battery rather than craving or relapse alone. That combination sits at the interface of stimulation technology, prefrontal targeting, and cognitive outcome measurement that Brain Stimulation routinely publishes.</w:t>
      </w:r>
    </w:p>
    <w:p>
      <w:r>
        <w:t>Key findings. Active HD-tDCS produced medium-to-large advantages versus sham on TMT-B, VFT, and HVLT-R (|Cohen's d| = 0.96–1.30; Hedges g = −0.94/1.03/1.28). Baseline-adjusted ANCOVA confirmed all three primary outcomes (partial η² = 0.19–0.31). Sensitivity analyses that altered assignment of ambiguous post-randomization records preserved these conclusions (ANCOVA P≤0.0003). The minimum detectable d at 80% power for n=21 versus n=27 is 0.83; observed effects exceeded that threshold. Sham did not differ from routine care.</w:t>
      </w:r>
    </w:p>
    <w:p>
      <w:r>
        <w:t>Reporting. The manuscript includes a CONSORT flow with explicit reassignment accounting (Figure 1), an HD-tDCS montage schematic (Figure 2), outcome and trajectory figures (Figures 3–4), a structured abstract, Integrity of the Blind, FDR-controlled primary omnibus tests, effect sizes with 95% confidence intervals and Hedges g, and transparent disclosure of data verification and the absence of structured adverse-event collection in the original protocol.</w:t>
      </w:r>
    </w:p>
    <w:p>
      <w:r>
        <w:t>Trial registration. The study was not prospectively registered before enrollment (2019); this limitation is disclosed, and retrospective registration with disclosure of the registration date is planned before final upload. No overlapping publication is planned.</w:t>
      </w:r>
    </w:p>
    <w:p>
      <w:r>
        <w:t>All authors approve this submission. Author names, affiliations, funding, ethics approval numbers, and conflict-of-interest statements will be completed in the final submission package.</w:t>
      </w:r>
    </w:p>
    <w:p/>
    <w:p>
      <w:r>
        <w:t>Sincerely,</w:t>
      </w:r>
    </w:p>
    <w:p>
      <w:r>
        <w:t>[Corresponding author name and signature]</w:t>
      </w:r>
    </w:p>
    <w:p>
      <w:r>
        <w:t>[Institution]</w:t>
      </w:r>
    </w:p>
    <w:p>
      <w:r>
        <w:t>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