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before="0"/>
      </w:pPr>
      <w:r>
        <w:t xml:space="preserve">Supplementary Material</w:t>
      </w:r>
    </w:p>
    <w:p>
      <w:pPr>
        <w:spacing w:line="480" w:lineRule="auto" w:after="0" w:before="0"/>
      </w:pPr>
      <w:r>
        <w:rPr>
          <w:rFonts w:ascii="Times New Roman" w:hAnsi="Times New Roman" w:eastAsia="宋体"/>
          <w:color w:val="000000"/>
          <w:sz w:val="24"/>
        </w:rPr>
        <w:t xml:space="preserve">Effects of High-Definition Transcranial Direct Current Stimulation on Cognitive Function in Male Inpatients with Alcohol Dependence: A Randomized Sham-Controlled Trial</w:t>
      </w:r>
    </w:p>
    <w:p>
      <w:pPr>
        <w:spacing w:line="480" w:lineRule="auto" w:after="0" w:before="0"/>
      </w:pPr>
      <w:r>
        <w:rPr>
          <w:rFonts w:ascii="Times New Roman" w:hAnsi="Times New Roman" w:eastAsia="宋体"/>
          <w:color w:val="000000"/>
          <w:sz w:val="24"/>
        </w:rPr>
        <w:t xml:space="preserve">This file contains the supplementary analyses referenced in the main text. Every value was recomputed from the de-identified individual-level dataset with the scripts deposited in the repository cited under Data availability; the derivation of each table is given in the notes below the tables and in the corresponding script.</w:t>
      </w:r>
    </w:p>
    <w:p>
      <w:pPr>
        <w:spacing w:line="480" w:lineRule="auto" w:after="0" w:before="0"/>
      </w:pPr>
      <w:r>
        <w:rPr>
          <w:rFonts w:ascii="Times New Roman" w:hAnsi="Times New Roman" w:eastAsia="宋体"/>
          <w:color w:val="000000"/>
          <w:sz w:val="24"/>
        </w:rPr>
        <w:t xml:space="preserve">Table S1. Participant flow and derivation of the primary analysis set.</w:t>
      </w:r>
    </w:p>
    <w:tbl>
      <w:tblPr>
        <w:tblW w:type="dxa" w:w="9360"/>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808"/>
        <w:gridCol w:w="655"/>
        <w:gridCol w:w="5897"/>
      </w:tblGrid>
      <w:tr>
        <w:tc>
          <w:tcPr>
            <w:tcW w:type="dxa" w:w="2808"/>
            <w:tcBorders>
              <w:top w:val="single" w:sz="12" w:space="0" w:color="000000"/>
              <w:left w:val="nil" w:sz="0" w:space="0" w:color="000000"/>
              <w:bottom w:val="single" w:sz="6" w:space="0" w:color="000000"/>
              <w:right w:val="nil" w:sz="0" w:space="0" w:color="000000"/>
            </w:tcBorders>
          </w:tcPr>
          <w:p>
            <w:pPr>
              <w:spacing w:before="40" w:after="40"/>
              <w:jc w:val="left"/>
            </w:pPr>
            <w:r>
              <w:rPr>
                <w:rFonts w:ascii="Times New Roman" w:hAnsi="Times New Roman" w:eastAsia="宋体"/>
                <w:b/>
                <w:color w:val="000000"/>
                <w:sz w:val="20"/>
              </w:rPr>
              <w:t xml:space="preserve">Stage</w:t>
            </w:r>
          </w:p>
        </w:tc>
        <w:tc>
          <w:tcPr>
            <w:tcW w:type="dxa" w:w="655"/>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n</w:t>
            </w:r>
          </w:p>
        </w:tc>
        <w:tc>
          <w:tcPr>
            <w:tcW w:type="dxa" w:w="5897"/>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Note</w:t>
            </w:r>
          </w:p>
        </w:tc>
      </w:tr>
      <w:tr>
        <w:tc>
          <w:tcPr>
            <w:tcW w:type="dxa" w:w="2808"/>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Randomized</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85</w:t>
            </w:r>
          </w:p>
        </w:tc>
        <w:tc>
          <w:tcPr>
            <w:tcW w:type="dxa" w:w="589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1:1:1 allocation: routine care 29, active HD-tDCS 28, sham HD-tDCS 28</w:t>
            </w:r>
          </w:p>
        </w:tc>
      </w:tr>
      <w:tr>
        <w:tc>
          <w:tcPr>
            <w:tcW w:type="dxa" w:w="2808"/>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Discontinued before the week-4 assessment</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3</w:t>
            </w:r>
          </w:p>
        </w:tc>
        <w:tc>
          <w:tcPr>
            <w:tcW w:type="dxa" w:w="589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Early hospital discharge (1 active, 2 sham); no week-4 outcome available</w:t>
            </w:r>
          </w:p>
        </w:tc>
      </w:tr>
      <w:tr>
        <w:tc>
          <w:tcPr>
            <w:tcW w:type="dxa" w:w="2808"/>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Records with a week-4 assessment</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82</w:t>
            </w:r>
          </w:p>
        </w:tc>
        <w:tc>
          <w:tcPr>
            <w:tcW w:type="dxa" w:w="589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Active 27, sham 26, control 29</w:t>
            </w:r>
          </w:p>
        </w:tc>
      </w:tr>
      <w:tr>
        <w:tc>
          <w:tcPr>
            <w:tcW w:type="dxa" w:w="2808"/>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Erroneous active-arm records removed</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5</w:t>
            </w:r>
          </w:p>
        </w:tc>
        <w:tc>
          <w:tcPr>
            <w:tcW w:type="dxa" w:w="589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Four cross-arm misentries and one duplicate row; each duplicated a participant already represented in the sham arm, so no participant outcome was discarded</w:t>
            </w:r>
          </w:p>
        </w:tc>
      </w:tr>
      <w:tr>
        <w:tc>
          <w:tcPr>
            <w:tcW w:type="dxa" w:w="2808"/>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Retained record reassigned to the sham arm</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w:t>
            </w:r>
          </w:p>
        </w:tc>
        <w:tc>
          <w:tcPr>
            <w:tcW w:type="dxa" w:w="589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Applied according to the original randomization log</w:t>
            </w:r>
          </w:p>
        </w:tc>
      </w:tr>
      <w:tr>
        <w:tc>
          <w:tcPr>
            <w:tcW w:type="dxa" w:w="2808"/>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Primary analysis set</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77</w:t>
            </w:r>
          </w:p>
        </w:tc>
        <w:tc>
          <w:tcPr>
            <w:tcW w:type="dxa" w:w="589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Active 21, sham 27, control 29; one record per participant</w:t>
            </w:r>
          </w:p>
        </w:tc>
      </w:tr>
      <w:tr>
        <w:tc>
          <w:tcPr>
            <w:tcW w:type="dxa" w:w="2808"/>
            <w:tcBorders>
              <w:top w:val="nil" w:sz="0" w:space="0" w:color="000000"/>
              <w:left w:val="nil" w:sz="0" w:space="0" w:color="000000"/>
              <w:bottom w:val="single" w:sz="12" w:space="0" w:color="000000"/>
              <w:right w:val="nil" w:sz="0" w:space="0" w:color="000000"/>
            </w:tcBorders>
          </w:tcPr>
          <w:p>
            <w:pPr>
              <w:spacing w:before="40" w:after="40"/>
              <w:jc w:val="left"/>
            </w:pPr>
            <w:r>
              <w:rPr>
                <w:rFonts w:ascii="Times New Roman" w:hAnsi="Times New Roman" w:eastAsia="宋体"/>
                <w:b w:val="0"/>
                <w:color w:val="000000"/>
                <w:sz w:val="20"/>
              </w:rPr>
              <w:t xml:space="preserve">Arithmetic check</w:t>
            </w:r>
          </w:p>
        </w:tc>
        <w:tc>
          <w:tcPr>
            <w:tcW w:type="dxa" w:w="655"/>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w:t>
            </w:r>
          </w:p>
        </w:tc>
        <w:tc>
          <w:tcPr>
            <w:tcW w:type="dxa" w:w="5897"/>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85 randomized = 3 discontinued + 82 records with a week-4 assessment; 77 = 82 − 5 erroneous records</w:t>
            </w:r>
          </w:p>
        </w:tc>
      </w:tr>
    </w:tbl>
    <w:p>
      <w:pPr>
        <w:spacing w:line="480" w:lineRule="auto" w:after="0" w:before="0"/>
      </w:pPr>
    </w:p>
    <w:p>
      <w:pPr>
        <w:spacing w:line="480" w:lineRule="auto" w:after="0" w:before="0"/>
      </w:pPr>
      <w:r>
        <w:rPr>
          <w:rFonts w:ascii="Times New Roman" w:hAnsi="Times New Roman" w:eastAsia="宋体"/>
          <w:color w:val="000000"/>
          <w:sz w:val="24"/>
        </w:rPr>
        <w:t xml:space="preserve">Note: the five removed rows were a data-quality correction, not a loss of outcome data. The three participants discharged early are the only randomized participants without a week-4 assessment; they are addressed in the worst-case analysis of Table S3.</w:t>
      </w:r>
    </w:p>
    <w:p>
      <w:pPr>
        <w:spacing w:line="480" w:lineRule="auto" w:after="0" w:before="0"/>
      </w:pPr>
      <w:r>
        <w:rPr>
          <w:rFonts w:ascii="Times New Roman" w:hAnsi="Times New Roman" w:eastAsia="宋体"/>
          <w:color w:val="000000"/>
          <w:sz w:val="24"/>
        </w:rPr>
        <w:t xml:space="preserve">Table S2. Sensitivity analyses for the post-randomization record-verification step.</w:t>
      </w:r>
    </w:p>
    <w:tbl>
      <w:tblPr>
        <w:tblW w:type="dxa" w:w="9360"/>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931"/>
        <w:gridCol w:w="1123"/>
        <w:gridCol w:w="842"/>
        <w:gridCol w:w="1310"/>
        <w:gridCol w:w="842"/>
        <w:gridCol w:w="655"/>
        <w:gridCol w:w="657"/>
      </w:tblGrid>
      <w:tr>
        <w:tc>
          <w:tcPr>
            <w:tcW w:type="dxa" w:w="3931"/>
            <w:tcBorders>
              <w:top w:val="single" w:sz="12" w:space="0" w:color="000000"/>
              <w:left w:val="nil" w:sz="0" w:space="0" w:color="000000"/>
              <w:bottom w:val="single" w:sz="6" w:space="0" w:color="000000"/>
              <w:right w:val="nil" w:sz="0" w:space="0" w:color="000000"/>
            </w:tcBorders>
          </w:tcPr>
          <w:p>
            <w:pPr>
              <w:spacing w:before="40" w:after="40"/>
              <w:jc w:val="left"/>
            </w:pPr>
            <w:r>
              <w:rPr>
                <w:rFonts w:ascii="Times New Roman" w:hAnsi="Times New Roman" w:eastAsia="宋体"/>
                <w:b/>
                <w:color w:val="000000"/>
                <w:sz w:val="20"/>
              </w:rPr>
              <w:t xml:space="preserve">Analysis set</w:t>
            </w:r>
          </w:p>
        </w:tc>
        <w:tc>
          <w:tcPr>
            <w:tcW w:type="dxa" w:w="1123"/>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n (active/sham/control)</w:t>
            </w:r>
          </w:p>
        </w:tc>
        <w:tc>
          <w:tcPr>
            <w:tcW w:type="dxa" w:w="842"/>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Outcome</w:t>
            </w:r>
          </w:p>
        </w:tc>
        <w:tc>
          <w:tcPr>
            <w:tcW w:type="dxa" w:w="1310"/>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ANCOVA F (df)</w:t>
            </w:r>
          </w:p>
        </w:tc>
        <w:tc>
          <w:tcPr>
            <w:tcW w:type="dxa" w:w="842"/>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ANCOVA P</w:t>
            </w:r>
          </w:p>
        </w:tc>
        <w:tc>
          <w:tcPr>
            <w:tcW w:type="dxa" w:w="655"/>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Cohen d</w:t>
            </w:r>
          </w:p>
        </w:tc>
        <w:tc>
          <w:tcPr>
            <w:tcW w:type="dxa" w:w="657"/>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Hedges g</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S1: primary set (reclassified record analysed in the sham arm)</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21/27/29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TMT-B</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16.668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-0.96</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-0.94</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S1: primary set (reclassified record analysed in the sham arm)</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21/27/29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VFT</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8.546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0.0005</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1.05</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1.03</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S1: primary set (reclassified record analysed in the sham arm)</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21/27/29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HVLT-R</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13.915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1.3</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1.28</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S2: reclassified record analysed in the active arm</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22/26/29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TMT-B</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17.289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-1.07</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-1.05</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S2: reclassified record analysed in the active arm</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22/26/29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VFT</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9.295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0.0003</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1.11</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1.09</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S2: reclassified record analysed in the active arm</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22/26/29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HVLT-R</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15.531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1.46</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1.44</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S3: reclassified record excluded</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21/26/29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TMT-B</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17.008 (2,72)</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-1.04</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-1.02</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S3: reclassified record excluded</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21/26/29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VFT</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8.915 (2,72)</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0.0003</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1.09</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1.08</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S3: reclassified record excluded</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21/26/29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HVLT-R</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14.942 (2,72)</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1.42</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1.4</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S4: all five ambiguous records analysed in the active arm as recorded</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26/22/29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TMT-B</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13.304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-1.2</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-1.18</w:t>
            </w:r>
          </w:p>
        </w:tc>
      </w:tr>
      <w:tr>
        <w:tc>
          <w:tcPr>
            <w:tcW w:type="dxa" w:w="3931"/>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S4: all five ambiguous records analysed in the active arm as recorded</w:t>
            </w:r>
          </w:p>
        </w:tc>
        <w:tc>
          <w:tcPr>
            <w:tcW w:type="dxa" w:w="1123"/>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26/22/29</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VFT</w:t>
            </w:r>
          </w:p>
        </w:tc>
        <w:tc>
          <w:tcPr>
            <w:tcW w:type="dxa" w:w="131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9.201 (2,73)</w:t>
            </w:r>
          </w:p>
        </w:tc>
        <w:tc>
          <w:tcPr>
            <w:tcW w:type="dxa" w:w="8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0.0003</w:t>
            </w:r>
          </w:p>
        </w:tc>
        <w:tc>
          <w:tcPr>
            <w:tcW w:type="dxa" w:w="65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1.14</w:t>
            </w:r>
          </w:p>
        </w:tc>
        <w:tc>
          <w:tcPr>
            <w:tcW w:type="dxa" w:w="657"/>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1.12</w:t>
            </w:r>
          </w:p>
        </w:tc>
      </w:tr>
      <w:tr>
        <w:tc>
          <w:tcPr>
            <w:tcW w:type="dxa" w:w="3931"/>
            <w:tcBorders>
              <w:top w:val="nil" w:sz="0" w:space="0" w:color="000000"/>
              <w:left w:val="nil" w:sz="0" w:space="0" w:color="000000"/>
              <w:bottom w:val="single" w:sz="12" w:space="0" w:color="000000"/>
              <w:right w:val="nil" w:sz="0" w:space="0" w:color="000000"/>
            </w:tcBorders>
          </w:tcPr>
          <w:p>
            <w:pPr>
              <w:spacing w:before="40" w:after="40"/>
              <w:jc w:val="left"/>
            </w:pPr>
            <w:r>
              <w:rPr>
                <w:rFonts w:ascii="Times New Roman" w:hAnsi="Times New Roman" w:eastAsia="宋体"/>
                <w:b w:val="0"/>
                <w:color w:val="000000"/>
                <w:sz w:val="20"/>
              </w:rPr>
              <w:t xml:space="preserve">S4: all five ambiguous records analysed in the active arm as recorded</w:t>
            </w:r>
          </w:p>
        </w:tc>
        <w:tc>
          <w:tcPr>
            <w:tcW w:type="dxa" w:w="1123"/>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26/22/29</w:t>
            </w:r>
          </w:p>
        </w:tc>
        <w:tc>
          <w:tcPr>
            <w:tcW w:type="dxa" w:w="842"/>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HVLT-R</w:t>
            </w:r>
          </w:p>
        </w:tc>
        <w:tc>
          <w:tcPr>
            <w:tcW w:type="dxa" w:w="1310"/>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9.151 (2,73)</w:t>
            </w:r>
          </w:p>
        </w:tc>
        <w:tc>
          <w:tcPr>
            <w:tcW w:type="dxa" w:w="842"/>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0.0003</w:t>
            </w:r>
          </w:p>
        </w:tc>
        <w:tc>
          <w:tcPr>
            <w:tcW w:type="dxa" w:w="655"/>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0.89</w:t>
            </w:r>
          </w:p>
        </w:tc>
        <w:tc>
          <w:tcPr>
            <w:tcW w:type="dxa" w:w="657"/>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0.88</w:t>
            </w:r>
          </w:p>
        </w:tc>
      </w:tr>
    </w:tbl>
    <w:p>
      <w:pPr>
        <w:spacing w:line="480" w:lineRule="auto" w:after="0" w:before="0"/>
      </w:pPr>
    </w:p>
    <w:p>
      <w:pPr>
        <w:spacing w:line="480" w:lineRule="auto" w:after="0" w:before="0"/>
      </w:pPr>
      <w:r>
        <w:rPr>
          <w:rFonts w:ascii="Times New Roman" w:hAnsi="Times New Roman" w:eastAsia="宋体"/>
          <w:color w:val="000000"/>
          <w:sz w:val="24"/>
        </w:rPr>
        <w:t xml:space="preserve">Note: d and g are the active-versus-sham contrasts on post-intervention scores. All four sets give the same qualitative conclusion for the three primary outcomes.</w:t>
      </w:r>
    </w:p>
    <w:p>
      <w:pPr>
        <w:spacing w:line="480" w:lineRule="auto" w:after="0" w:before="0"/>
      </w:pPr>
      <w:r>
        <w:rPr>
          <w:rFonts w:ascii="Times New Roman" w:hAnsi="Times New Roman" w:eastAsia="宋体"/>
          <w:color w:val="000000"/>
          <w:sz w:val="24"/>
        </w:rPr>
        <w:t xml:space="preserve">Table S3. Worst-case analysis for the three participants without a week-4 assessment.</w:t>
      </w:r>
    </w:p>
    <w:tbl>
      <w:tblPr>
        <w:tblW w:type="dxa" w:w="9360"/>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36"/>
        <w:gridCol w:w="1352"/>
        <w:gridCol w:w="728"/>
        <w:gridCol w:w="2808"/>
        <w:gridCol w:w="2392"/>
        <w:gridCol w:w="1144"/>
      </w:tblGrid>
      <w:tr>
        <w:tc>
          <w:tcPr>
            <w:tcW w:type="dxa" w:w="936"/>
            <w:tcBorders>
              <w:top w:val="single" w:sz="12" w:space="0" w:color="000000"/>
              <w:left w:val="nil" w:sz="0" w:space="0" w:color="000000"/>
              <w:bottom w:val="single" w:sz="6" w:space="0" w:color="000000"/>
              <w:right w:val="nil" w:sz="0" w:space="0" w:color="000000"/>
            </w:tcBorders>
          </w:tcPr>
          <w:p>
            <w:pPr>
              <w:spacing w:before="40" w:after="40"/>
              <w:jc w:val="left"/>
            </w:pPr>
            <w:r>
              <w:rPr>
                <w:rFonts w:ascii="Times New Roman" w:hAnsi="Times New Roman" w:eastAsia="宋体"/>
                <w:b/>
                <w:color w:val="000000"/>
                <w:sz w:val="20"/>
              </w:rPr>
              <w:t xml:space="preserve">Outcome</w:t>
            </w:r>
          </w:p>
        </w:tc>
        <w:tc>
          <w:tcPr>
            <w:tcW w:type="dxa" w:w="1352"/>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Observed active-vs-sham P</w:t>
            </w:r>
          </w:p>
        </w:tc>
        <w:tc>
          <w:tcPr>
            <w:tcW w:type="dxa" w:w="728"/>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Observed d</w:t>
            </w:r>
          </w:p>
        </w:tc>
        <w:tc>
          <w:tcPr>
            <w:tcW w:type="dxa" w:w="2808"/>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Offset at which significance is lost</w:t>
            </w:r>
          </w:p>
        </w:tc>
        <w:tc>
          <w:tcPr>
            <w:tcW w:type="dxa" w:w="2392"/>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Implied active / sham score at that offset</w:t>
            </w:r>
          </w:p>
        </w:tc>
        <w:tc>
          <w:tcPr>
            <w:tcW w:type="dxa" w:w="1144"/>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Extreme-case P</w:t>
            </w:r>
          </w:p>
        </w:tc>
      </w:tr>
      <w:tr>
        <w:tc>
          <w:tcPr>
            <w:tcW w:type="dxa" w:w="936"/>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TMT-B</w:t>
            </w:r>
          </w:p>
        </w:tc>
        <w:tc>
          <w:tcPr>
            <w:tcW w:type="dxa" w:w="135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0.002</w:t>
            </w:r>
          </w:p>
        </w:tc>
        <w:tc>
          <w:tcPr>
            <w:tcW w:type="dxa" w:w="72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-0.96</w:t>
            </w:r>
          </w:p>
        </w:tc>
        <w:tc>
          <w:tcPr>
            <w:tcW w:type="dxa" w:w="280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3.55 SD (140.76 units)</w:t>
            </w:r>
          </w:p>
        </w:tc>
        <w:tc>
          <w:tcPr>
            <w:tcW w:type="dxa" w:w="239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240.38 / -49.57</w:t>
            </w:r>
          </w:p>
        </w:tc>
        <w:tc>
          <w:tcPr>
            <w:tcW w:type="dxa" w:w="1144"/>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0.010</w:t>
            </w:r>
          </w:p>
        </w:tc>
      </w:tr>
      <w:tr>
        <w:tc>
          <w:tcPr>
            <w:tcW w:type="dxa" w:w="936"/>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VFT</w:t>
            </w:r>
          </w:p>
        </w:tc>
        <w:tc>
          <w:tcPr>
            <w:tcW w:type="dxa" w:w="135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72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1.05</w:t>
            </w:r>
          </w:p>
        </w:tc>
        <w:tc>
          <w:tcPr>
            <w:tcW w:type="dxa" w:w="280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4.0 SD (16.38 units)</w:t>
            </w:r>
          </w:p>
        </w:tc>
        <w:tc>
          <w:tcPr>
            <w:tcW w:type="dxa" w:w="239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7.43 / 34.79</w:t>
            </w:r>
          </w:p>
        </w:tc>
        <w:tc>
          <w:tcPr>
            <w:tcW w:type="dxa" w:w="1144"/>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0.013</w:t>
            </w:r>
          </w:p>
        </w:tc>
      </w:tr>
      <w:tr>
        <w:tc>
          <w:tcPr>
            <w:tcW w:type="dxa" w:w="936"/>
            <w:tcBorders>
              <w:top w:val="nil" w:sz="0" w:space="0" w:color="000000"/>
              <w:left w:val="nil" w:sz="0" w:space="0" w:color="000000"/>
              <w:bottom w:val="single" w:sz="12" w:space="0" w:color="000000"/>
              <w:right w:val="nil" w:sz="0" w:space="0" w:color="000000"/>
            </w:tcBorders>
          </w:tcPr>
          <w:p>
            <w:pPr>
              <w:spacing w:before="40" w:after="40"/>
              <w:jc w:val="left"/>
            </w:pPr>
            <w:r>
              <w:rPr>
                <w:rFonts w:ascii="Times New Roman" w:hAnsi="Times New Roman" w:eastAsia="宋体"/>
                <w:b w:val="0"/>
                <w:color w:val="000000"/>
                <w:sz w:val="20"/>
              </w:rPr>
              <w:t xml:space="preserve">HVLT-R</w:t>
            </w:r>
          </w:p>
        </w:tc>
        <w:tc>
          <w:tcPr>
            <w:tcW w:type="dxa" w:w="1352"/>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728"/>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1.3</w:t>
            </w:r>
          </w:p>
        </w:tc>
        <w:tc>
          <w:tcPr>
            <w:tcW w:type="dxa" w:w="2808"/>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5.5 SD (30.13 units)</w:t>
            </w:r>
          </w:p>
        </w:tc>
        <w:tc>
          <w:tcPr>
            <w:tcW w:type="dxa" w:w="2392"/>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-2.42 / 46.93</w:t>
            </w:r>
          </w:p>
        </w:tc>
        <w:tc>
          <w:tcPr>
            <w:tcW w:type="dxa" w:w="1144"/>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r>
    </w:tbl>
    <w:p>
      <w:pPr>
        <w:spacing w:line="480" w:lineRule="auto" w:after="0" w:before="0"/>
      </w:pPr>
    </w:p>
    <w:p>
      <w:pPr>
        <w:spacing w:line="480" w:lineRule="auto" w:after="0" w:before="0"/>
      </w:pPr>
      <w:r>
        <w:rPr>
          <w:rFonts w:ascii="Times New Roman" w:hAnsi="Times New Roman" w:eastAsia="宋体"/>
          <w:color w:val="000000"/>
          <w:sz w:val="24"/>
        </w:rPr>
        <w:t xml:space="preserve">Note: the offset is applied in the direction unfavourable to the active arm (the missing active-arm participant downwards and the two missing sham-arm participants upwards, each scaled to that arm's standard deviation). The extreme case assigns the missing active-arm participant the worst observed active-arm score and the two missing sham-arm participants the best observed sham-arm scores. The implied scores at the tipping point lie outside the range the instruments can take (a negative TMT-B completion time and an HVLT-R score above the 36-point maximum are unattainable), so no physically possible outcome for these three participants overturns the conclusion. Multiple imputation was not possible because the baseline covariates of the three participants are absent from the de-identified dataset.</w:t>
      </w:r>
    </w:p>
    <w:p>
      <w:pPr>
        <w:spacing w:line="480" w:lineRule="auto" w:after="0" w:before="0"/>
      </w:pPr>
      <w:r>
        <w:rPr>
          <w:rFonts w:ascii="Times New Roman" w:hAnsi="Times New Roman" w:eastAsia="宋体"/>
          <w:color w:val="000000"/>
          <w:sz w:val="24"/>
        </w:rPr>
        <w:t xml:space="preserve">Table S4. Permutation tests and bootstrap confidence intervals for the primary contrasts.</w:t>
      </w:r>
    </w:p>
    <w:tbl>
      <w:tblPr>
        <w:tblW w:type="dxa" w:w="9360"/>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79"/>
        <w:gridCol w:w="2176"/>
        <w:gridCol w:w="2176"/>
        <w:gridCol w:w="2938"/>
        <w:gridCol w:w="1091"/>
      </w:tblGrid>
      <w:tr>
        <w:tc>
          <w:tcPr>
            <w:tcW w:type="dxa" w:w="979"/>
            <w:tcBorders>
              <w:top w:val="single" w:sz="12" w:space="0" w:color="000000"/>
              <w:left w:val="nil" w:sz="0" w:space="0" w:color="000000"/>
              <w:bottom w:val="single" w:sz="6" w:space="0" w:color="000000"/>
              <w:right w:val="nil" w:sz="0" w:space="0" w:color="000000"/>
            </w:tcBorders>
          </w:tcPr>
          <w:p>
            <w:pPr>
              <w:spacing w:before="40" w:after="40"/>
              <w:jc w:val="left"/>
            </w:pPr>
            <w:r>
              <w:rPr>
                <w:rFonts w:ascii="Times New Roman" w:hAnsi="Times New Roman" w:eastAsia="宋体"/>
                <w:b/>
                <w:color w:val="000000"/>
                <w:sz w:val="20"/>
              </w:rPr>
              <w:t xml:space="preserve">Outcome</w:t>
            </w:r>
          </w:p>
        </w:tc>
        <w:tc>
          <w:tcPr>
            <w:tcW w:type="dxa" w:w="2176"/>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Permutation P (omnibus, 10,000 permutations)</w:t>
            </w:r>
          </w:p>
        </w:tc>
        <w:tc>
          <w:tcPr>
            <w:tcW w:type="dxa" w:w="2176"/>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Permutation P (active vs sham, restricted)</w:t>
            </w:r>
          </w:p>
        </w:tc>
        <w:tc>
          <w:tcPr>
            <w:tcW w:type="dxa" w:w="2938"/>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Bootstrap 95% CI, active-minus-sham change score</w:t>
            </w:r>
          </w:p>
        </w:tc>
        <w:tc>
          <w:tcPr>
            <w:tcW w:type="dxa" w:w="1091"/>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Excludes zero</w:t>
            </w:r>
          </w:p>
        </w:tc>
      </w:tr>
      <w:tr>
        <w:tc>
          <w:tcPr>
            <w:tcW w:type="dxa" w:w="979"/>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TMT-B</w:t>
            </w:r>
          </w:p>
        </w:tc>
        <w:tc>
          <w:tcPr>
            <w:tcW w:type="dxa" w:w="2176"/>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0.016</w:t>
            </w:r>
          </w:p>
        </w:tc>
        <w:tc>
          <w:tcPr>
            <w:tcW w:type="dxa" w:w="2176"/>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0.0016</w:t>
            </w:r>
          </w:p>
        </w:tc>
        <w:tc>
          <w:tcPr>
            <w:tcW w:type="dxa" w:w="293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-23.59 [-40.43, -7.51]</w:t>
            </w:r>
          </w:p>
        </w:tc>
        <w:tc>
          <w:tcPr>
            <w:tcW w:type="dxa" w:w="1091"/>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Yes</w:t>
            </w:r>
          </w:p>
        </w:tc>
      </w:tr>
      <w:tr>
        <w:tc>
          <w:tcPr>
            <w:tcW w:type="dxa" w:w="979"/>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VFT</w:t>
            </w:r>
          </w:p>
        </w:tc>
        <w:tc>
          <w:tcPr>
            <w:tcW w:type="dxa" w:w="2176"/>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0.006</w:t>
            </w:r>
          </w:p>
        </w:tc>
        <w:tc>
          <w:tcPr>
            <w:tcW w:type="dxa" w:w="2176"/>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0.0010</w:t>
            </w:r>
          </w:p>
        </w:tc>
        <w:tc>
          <w:tcPr>
            <w:tcW w:type="dxa" w:w="293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2.89 [1.21, 4.64]</w:t>
            </w:r>
          </w:p>
        </w:tc>
        <w:tc>
          <w:tcPr>
            <w:tcW w:type="dxa" w:w="1091"/>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Yes</w:t>
            </w:r>
          </w:p>
        </w:tc>
      </w:tr>
      <w:tr>
        <w:tc>
          <w:tcPr>
            <w:tcW w:type="dxa" w:w="979"/>
            <w:tcBorders>
              <w:top w:val="nil" w:sz="0" w:space="0" w:color="000000"/>
              <w:left w:val="nil" w:sz="0" w:space="0" w:color="000000"/>
              <w:bottom w:val="single" w:sz="12" w:space="0" w:color="000000"/>
              <w:right w:val="nil" w:sz="0" w:space="0" w:color="000000"/>
            </w:tcBorders>
          </w:tcPr>
          <w:p>
            <w:pPr>
              <w:spacing w:before="40" w:after="40"/>
              <w:jc w:val="left"/>
            </w:pPr>
            <w:r>
              <w:rPr>
                <w:rFonts w:ascii="Times New Roman" w:hAnsi="Times New Roman" w:eastAsia="宋体"/>
                <w:b w:val="0"/>
                <w:color w:val="000000"/>
                <w:sz w:val="20"/>
              </w:rPr>
              <w:t xml:space="preserve">HVLT-R</w:t>
            </w:r>
          </w:p>
        </w:tc>
        <w:tc>
          <w:tcPr>
            <w:tcW w:type="dxa" w:w="2176"/>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2176"/>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0.0002</w:t>
            </w:r>
          </w:p>
        </w:tc>
        <w:tc>
          <w:tcPr>
            <w:tcW w:type="dxa" w:w="2938"/>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4.39 [2.65, 6.22]</w:t>
            </w:r>
          </w:p>
        </w:tc>
        <w:tc>
          <w:tcPr>
            <w:tcW w:type="dxa" w:w="1091"/>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Yes</w:t>
            </w:r>
          </w:p>
        </w:tc>
      </w:tr>
    </w:tbl>
    <w:p>
      <w:pPr>
        <w:spacing w:line="480" w:lineRule="auto" w:after="0" w:before="0"/>
      </w:pPr>
    </w:p>
    <w:p>
      <w:pPr>
        <w:spacing w:line="480" w:lineRule="auto" w:after="0" w:before="0"/>
      </w:pPr>
      <w:r>
        <w:rPr>
          <w:rFonts w:ascii="Times New Roman" w:hAnsi="Times New Roman" w:eastAsia="宋体"/>
          <w:color w:val="000000"/>
          <w:sz w:val="24"/>
        </w:rPr>
        <w:t xml:space="preserve">Note: the omnibus permutation test permutes all 77 group labels; the active-versus-sham contrast uses a restricted permutation within the 48 active and sham participants, with the control arm held fixed. Bootstrap intervals are percentile intervals from 10,000 resamples (seed 20261027) of the active-minus-sham difference in baseline-to-post change scores.</w:t>
      </w:r>
    </w:p>
    <w:p>
      <w:pPr>
        <w:spacing w:line="480" w:lineRule="auto" w:after="0" w:before="0"/>
      </w:pPr>
      <w:r>
        <w:rPr>
          <w:rFonts w:ascii="Times New Roman" w:hAnsi="Times New Roman" w:eastAsia="宋体"/>
          <w:color w:val="000000"/>
          <w:sz w:val="24"/>
        </w:rPr>
        <w:t xml:space="preserve">Table S5. Distribution diagnostics and leave-one-participant-out stability.</w:t>
      </w:r>
    </w:p>
    <w:tbl>
      <w:tblPr>
        <w:tblW w:type="dxa" w:w="9360"/>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080"/>
        <w:gridCol w:w="3119"/>
        <w:gridCol w:w="1080"/>
        <w:gridCol w:w="2639"/>
        <w:gridCol w:w="1442"/>
      </w:tblGrid>
      <w:tr>
        <w:tc>
          <w:tcPr>
            <w:tcW w:type="dxa" w:w="1080"/>
            <w:tcBorders>
              <w:top w:val="single" w:sz="12" w:space="0" w:color="000000"/>
              <w:left w:val="nil" w:sz="0" w:space="0" w:color="000000"/>
              <w:bottom w:val="single" w:sz="6" w:space="0" w:color="000000"/>
              <w:right w:val="nil" w:sz="0" w:space="0" w:color="000000"/>
            </w:tcBorders>
          </w:tcPr>
          <w:p>
            <w:pPr>
              <w:spacing w:before="40" w:after="40"/>
              <w:jc w:val="left"/>
            </w:pPr>
            <w:r>
              <w:rPr>
                <w:rFonts w:ascii="Times New Roman" w:hAnsi="Times New Roman" w:eastAsia="宋体"/>
                <w:b/>
                <w:color w:val="000000"/>
                <w:sz w:val="20"/>
              </w:rPr>
              <w:t xml:space="preserve">Outcome</w:t>
            </w:r>
          </w:p>
        </w:tc>
        <w:tc>
          <w:tcPr>
            <w:tcW w:type="dxa" w:w="3119"/>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Shapiro-Wilk P (active/sham/control)</w:t>
            </w:r>
          </w:p>
        </w:tc>
        <w:tc>
          <w:tcPr>
            <w:tcW w:type="dxa" w:w="1080"/>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Levene P</w:t>
            </w:r>
          </w:p>
        </w:tc>
        <w:tc>
          <w:tcPr>
            <w:tcW w:type="dxa" w:w="2639"/>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Leave-one-out active-vs-sham P range</w:t>
            </w:r>
          </w:p>
        </w:tc>
        <w:tc>
          <w:tcPr>
            <w:tcW w:type="dxa" w:w="1442"/>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All leave-one-out P &lt; 0.05</w:t>
            </w:r>
          </w:p>
        </w:tc>
      </w:tr>
      <w:tr>
        <w:tc>
          <w:tcPr>
            <w:tcW w:type="dxa" w:w="1080"/>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MMSE</w:t>
            </w:r>
          </w:p>
        </w:tc>
        <w:tc>
          <w:tcPr>
            <w:tcW w:type="dxa" w:w="311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0.0052 / 0.028 / 0.0175</w:t>
            </w:r>
          </w:p>
        </w:tc>
        <w:tc>
          <w:tcPr>
            <w:tcW w:type="dxa" w:w="108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0.8783</w:t>
            </w:r>
          </w:p>
        </w:tc>
        <w:tc>
          <w:tcPr>
            <w:tcW w:type="dxa" w:w="263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0.013–0.076</w:t>
            </w:r>
          </w:p>
        </w:tc>
        <w:tc>
          <w:tcPr>
            <w:tcW w:type="dxa" w:w="14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No</w:t>
            </w:r>
          </w:p>
        </w:tc>
      </w:tr>
      <w:tr>
        <w:tc>
          <w:tcPr>
            <w:tcW w:type="dxa" w:w="1080"/>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TMT-B</w:t>
            </w:r>
          </w:p>
        </w:tc>
        <w:tc>
          <w:tcPr>
            <w:tcW w:type="dxa" w:w="311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0.3251 / 0.0793 / 0.0402</w:t>
            </w:r>
          </w:p>
        </w:tc>
        <w:tc>
          <w:tcPr>
            <w:tcW w:type="dxa" w:w="108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0.1603</w:t>
            </w:r>
          </w:p>
        </w:tc>
        <w:tc>
          <w:tcPr>
            <w:tcW w:type="dxa" w:w="263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&lt;0.001–0.004</w:t>
            </w:r>
          </w:p>
        </w:tc>
        <w:tc>
          <w:tcPr>
            <w:tcW w:type="dxa" w:w="14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Yes</w:t>
            </w:r>
          </w:p>
        </w:tc>
      </w:tr>
      <w:tr>
        <w:tc>
          <w:tcPr>
            <w:tcW w:type="dxa" w:w="1080"/>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DST</w:t>
            </w:r>
          </w:p>
        </w:tc>
        <w:tc>
          <w:tcPr>
            <w:tcW w:type="dxa" w:w="311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0.0983 / 0.2394 / 0.5535</w:t>
            </w:r>
          </w:p>
        </w:tc>
        <w:tc>
          <w:tcPr>
            <w:tcW w:type="dxa" w:w="108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0.2409</w:t>
            </w:r>
          </w:p>
        </w:tc>
        <w:tc>
          <w:tcPr>
            <w:tcW w:type="dxa" w:w="263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0.075–0.252</w:t>
            </w:r>
          </w:p>
        </w:tc>
        <w:tc>
          <w:tcPr>
            <w:tcW w:type="dxa" w:w="14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No</w:t>
            </w:r>
          </w:p>
        </w:tc>
      </w:tr>
      <w:tr>
        <w:tc>
          <w:tcPr>
            <w:tcW w:type="dxa" w:w="1080"/>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VFT</w:t>
            </w:r>
          </w:p>
        </w:tc>
        <w:tc>
          <w:tcPr>
            <w:tcW w:type="dxa" w:w="311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0.5945 / 0.6702 / 0.4138</w:t>
            </w:r>
          </w:p>
        </w:tc>
        <w:tc>
          <w:tcPr>
            <w:tcW w:type="dxa" w:w="1080"/>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0.1063</w:t>
            </w:r>
          </w:p>
        </w:tc>
        <w:tc>
          <w:tcPr>
            <w:tcW w:type="dxa" w:w="2639"/>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&lt;0.001–0.002</w:t>
            </w:r>
          </w:p>
        </w:tc>
        <w:tc>
          <w:tcPr>
            <w:tcW w:type="dxa" w:w="1442"/>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Yes</w:t>
            </w:r>
          </w:p>
        </w:tc>
      </w:tr>
      <w:tr>
        <w:tc>
          <w:tcPr>
            <w:tcW w:type="dxa" w:w="1080"/>
            <w:tcBorders>
              <w:top w:val="nil" w:sz="0" w:space="0" w:color="000000"/>
              <w:left w:val="nil" w:sz="0" w:space="0" w:color="000000"/>
              <w:bottom w:val="single" w:sz="12" w:space="0" w:color="000000"/>
              <w:right w:val="nil" w:sz="0" w:space="0" w:color="000000"/>
            </w:tcBorders>
          </w:tcPr>
          <w:p>
            <w:pPr>
              <w:spacing w:before="40" w:after="40"/>
              <w:jc w:val="left"/>
            </w:pPr>
            <w:r>
              <w:rPr>
                <w:rFonts w:ascii="Times New Roman" w:hAnsi="Times New Roman" w:eastAsia="宋体"/>
                <w:b w:val="0"/>
                <w:color w:val="000000"/>
                <w:sz w:val="20"/>
              </w:rPr>
              <w:t xml:space="preserve">HVLT-R</w:t>
            </w:r>
          </w:p>
        </w:tc>
        <w:tc>
          <w:tcPr>
            <w:tcW w:type="dxa" w:w="3119"/>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0.2594 / 0.0095 / 0.4137</w:t>
            </w:r>
          </w:p>
        </w:tc>
        <w:tc>
          <w:tcPr>
            <w:tcW w:type="dxa" w:w="1080"/>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0.2446</w:t>
            </w:r>
          </w:p>
        </w:tc>
        <w:tc>
          <w:tcPr>
            <w:tcW w:type="dxa" w:w="2639"/>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&lt;0.001</w:t>
            </w:r>
          </w:p>
        </w:tc>
        <w:tc>
          <w:tcPr>
            <w:tcW w:type="dxa" w:w="1442"/>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Yes</w:t>
            </w:r>
          </w:p>
        </w:tc>
      </w:tr>
    </w:tbl>
    <w:p>
      <w:pPr>
        <w:spacing w:line="480" w:lineRule="auto" w:after="0" w:before="0"/>
      </w:pPr>
    </w:p>
    <w:p>
      <w:pPr>
        <w:spacing w:line="480" w:lineRule="auto" w:after="0" w:before="0"/>
      </w:pPr>
      <w:r>
        <w:rPr>
          <w:rFonts w:ascii="Times New Roman" w:hAnsi="Times New Roman" w:eastAsia="宋体"/>
          <w:color w:val="000000"/>
          <w:sz w:val="24"/>
        </w:rPr>
        <w:t xml:space="preserve">Note: the leave-one-out analysis removes each of the 77 participants in turn and recomputes the active-versus-sham comparison. The range column gives the smallest and largest P value obtained across the 77 re-analyses.</w:t>
      </w:r>
    </w:p>
    <w:p>
      <w:pPr>
        <w:spacing w:line="480" w:lineRule="auto" w:after="0" w:before="0"/>
      </w:pPr>
      <w:r>
        <w:rPr>
          <w:rFonts w:ascii="Times New Roman" w:hAnsi="Times New Roman" w:eastAsia="宋体"/>
          <w:color w:val="000000"/>
          <w:sz w:val="24"/>
        </w:rPr>
        <w:t xml:space="preserve">Table S6. Contents of the deposited reproducibility package.</w:t>
      </w:r>
    </w:p>
    <w:tbl>
      <w:tblPr>
        <w:tblW w:type="dxa" w:w="9360"/>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995"/>
        <w:gridCol w:w="6365"/>
      </w:tblGrid>
      <w:tr>
        <w:tc>
          <w:tcPr>
            <w:tcW w:type="dxa" w:w="2995"/>
            <w:tcBorders>
              <w:top w:val="single" w:sz="12" w:space="0" w:color="000000"/>
              <w:left w:val="nil" w:sz="0" w:space="0" w:color="000000"/>
              <w:bottom w:val="single" w:sz="6" w:space="0" w:color="000000"/>
              <w:right w:val="nil" w:sz="0" w:space="0" w:color="000000"/>
            </w:tcBorders>
          </w:tcPr>
          <w:p>
            <w:pPr>
              <w:spacing w:before="40" w:after="40"/>
              <w:jc w:val="left"/>
            </w:pPr>
            <w:r>
              <w:rPr>
                <w:rFonts w:ascii="Times New Roman" w:hAnsi="Times New Roman" w:eastAsia="宋体"/>
                <w:b/>
                <w:color w:val="000000"/>
                <w:sz w:val="20"/>
              </w:rPr>
              <w:t xml:space="preserve">File</w:t>
            </w:r>
          </w:p>
        </w:tc>
        <w:tc>
          <w:tcPr>
            <w:tcW w:type="dxa" w:w="6365"/>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Description</w:t>
            </w:r>
          </w:p>
        </w:tc>
      </w:tr>
      <w:tr>
        <w:tc>
          <w:tcPr>
            <w:tcW w:type="dxa" w:w="2995"/>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data/deid/比较_deid.xlsx</w:t>
            </w:r>
          </w:p>
        </w:tc>
        <w:tc>
          <w:tcPr>
            <w:tcW w:type="dxa" w:w="636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De-identified analysis dataset, 77 records × 24 variables, one record per participant</w:t>
            </w:r>
          </w:p>
        </w:tc>
      </w:tr>
      <w:tr>
        <w:tc>
          <w:tcPr>
            <w:tcW w:type="dxa" w:w="2995"/>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data/deid/真刺激组_deid.xlsx</w:t>
            </w:r>
          </w:p>
        </w:tc>
        <w:tc>
          <w:tcPr>
            <w:tcW w:type="dxa" w:w="636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Active arm (n=21)</w:t>
            </w:r>
          </w:p>
        </w:tc>
      </w:tr>
      <w:tr>
        <w:tc>
          <w:tcPr>
            <w:tcW w:type="dxa" w:w="2995"/>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data/deid/伪刺激组_deid.xlsx</w:t>
            </w:r>
          </w:p>
        </w:tc>
        <w:tc>
          <w:tcPr>
            <w:tcW w:type="dxa" w:w="636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Sham arm (n=27)</w:t>
            </w:r>
          </w:p>
        </w:tc>
      </w:tr>
      <w:tr>
        <w:tc>
          <w:tcPr>
            <w:tcW w:type="dxa" w:w="2995"/>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data/deid/酒依赖组_deid.xlsx</w:t>
            </w:r>
          </w:p>
        </w:tc>
        <w:tc>
          <w:tcPr>
            <w:tcW w:type="dxa" w:w="636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Routine-care arm (n=29)</w:t>
            </w:r>
          </w:p>
        </w:tc>
      </w:tr>
      <w:tr>
        <w:tc>
          <w:tcPr>
            <w:tcW w:type="dxa" w:w="2995"/>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data/deid/ambiguous_participants.json</w:t>
            </w:r>
          </w:p>
        </w:tc>
        <w:tc>
          <w:tcPr>
            <w:tcW w:type="dxa" w:w="636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Codes for the five participants affected by the record-verification step</w:t>
            </w:r>
          </w:p>
        </w:tc>
      </w:tr>
      <w:tr>
        <w:tc>
          <w:tcPr>
            <w:tcW w:type="dxa" w:w="2995"/>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data/deid/DEID_REPORT.json</w:t>
            </w:r>
          </w:p>
        </w:tc>
        <w:tc>
          <w:tcPr>
            <w:tcW w:type="dxa" w:w="636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De-identification report: source file, sheet, row and column counts, and the action applied to each field</w:t>
            </w:r>
          </w:p>
        </w:tc>
      </w:tr>
      <w:tr>
        <w:tc>
          <w:tcPr>
            <w:tcW w:type="dxa" w:w="2995"/>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03_scripts/recompute_all.py</w:t>
            </w:r>
          </w:p>
        </w:tc>
        <w:tc>
          <w:tcPr>
            <w:tcW w:type="dxa" w:w="6365"/>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Recomputation of every reported statistic and the added robustness analyses (permutation, bootstrap, worst-case, diagnostics)</w:t>
            </w:r>
          </w:p>
        </w:tc>
      </w:tr>
      <w:tr>
        <w:tc>
          <w:tcPr>
            <w:tcW w:type="dxa" w:w="2995"/>
            <w:tcBorders>
              <w:top w:val="nil" w:sz="0" w:space="0" w:color="000000"/>
              <w:left w:val="nil" w:sz="0" w:space="0" w:color="000000"/>
              <w:bottom w:val="single" w:sz="12" w:space="0" w:color="000000"/>
              <w:right w:val="nil" w:sz="0" w:space="0" w:color="000000"/>
            </w:tcBorders>
          </w:tcPr>
          <w:p>
            <w:pPr>
              <w:spacing w:before="40" w:after="40"/>
              <w:jc w:val="left"/>
            </w:pPr>
            <w:r>
              <w:rPr>
                <w:rFonts w:ascii="Times New Roman" w:hAnsi="Times New Roman" w:eastAsia="宋体"/>
                <w:b w:val="0"/>
                <w:color w:val="000000"/>
                <w:sz w:val="20"/>
              </w:rPr>
              <w:t xml:space="preserve">06_results/</w:t>
            </w:r>
          </w:p>
        </w:tc>
        <w:tc>
          <w:tcPr>
            <w:tcW w:type="dxa" w:w="6365"/>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Derived result tables in CSV and JSON, including the upstream-consistency check</w:t>
            </w:r>
          </w:p>
        </w:tc>
      </w:tr>
    </w:tbl>
    <w:p>
      <w:pPr>
        <w:spacing w:line="480" w:lineRule="auto" w:after="0" w:before="0"/>
      </w:pPr>
    </w:p>
    <w:p>
      <w:pPr>
        <w:spacing w:line="480" w:lineRule="auto" w:after="0" w:before="0"/>
      </w:pPr>
      <w:r>
        <w:rPr>
          <w:rFonts w:ascii="Times New Roman" w:hAnsi="Times New Roman" w:eastAsia="宋体"/>
          <w:color w:val="000000"/>
          <w:sz w:val="24"/>
        </w:rPr>
        <w:t xml:space="preserve">De-identification: participant names were removed at source and replaced with hashed study identifiers; the mapping between names and codes was kept locally and is not part of the package. No direct identifier, date of birth, or free-text clinical note is present in the de-identified tables.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