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1dfc434c0bd49c9"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and then excluded seven technical explanations for the negative result, including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disagree by as much as 0.15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Sections 2.4, 2.9, 3.4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published per-cohort AUCs and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and reported for every signature and cohort, and no direction was selected after the fact. Confidence intervals are reported to three decimal places throughout.</w:t>
      </w:r>
    </w:p>
    <w:p>
      <w:pPr>
        <w:pStyle w:val="Heading2"/>
      </w:pPr>
      <w:r>
        <w:t>2.11. Supplementary Material</w:t>
      </w:r>
    </w:p>
    <w:p>
      <w:pPr>
        <w:pStyle w:val="Normal"/>
      </w:pPr>
      <w:r>
        <w:t xml:space="preserve">A single-cell and paired T-cell receptor analysis of 42 longitudinal melanoma biopsies from 34 patients was performed during the study. It addresses a different question from the one tested here and its findings are reported in the Supplementary Material rather than in the main text. In summary,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89600" cy="3651552"/>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57bea1393aa64805"/>
                    <a:stretch>
                      <a:fillRect/>
                    </a:stretch>
                  </pic:blipFill>
                  <pic:spPr>
                    <a:xfrm>
                      <a:off x="0" y="0"/>
                      <a:ext cx="5889600" cy="3651552"/>
                    </a:xfrm>
                    <a:prstGeom prst="rect">
                      <a:avLst/>
                    </a:prstGeom>
                  </pic:spPr>
                </pic:pic>
              </a:graphicData>
            </a:graphic>
          </wp:inline>
        </w:drawing>
      </w:r>
    </w:p>
    <w:p>
      <w:pPr>
        <w:pStyle w:val="Caption"/>
        <w:jc w:val="left"/>
      </w:pPr>
      <w:r>
        <w:t>Figure 1. Study design. Cohorts, patient counts after assembly, the platform and biopsy timepoint of each, and the position within the workflow at which each pre-registered decision was locked.</w:t>
      </w:r>
    </w:p>
    <w:p>
      <w:pPr>
        <w:pStyle w:val="Caption"/>
        <w:keepNext/>
        <w:jc w:val="left"/>
      </w:pPr>
      <w:r>
        <w:rPr>
          <w:b/>
        </w:rPr>
        <w:t>Table 1. Characteristics of the three primary cohorts.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shd w:val="clear" w:color="auto" w:fill="F2F2F2"/>
          </w:tcPr>
          <w:p>
            <w:pPr>
              <w:pStyle w:val="TableText"/>
              <w:jc w:val="left"/>
              <w:spacing w:before="20" w:after="20" w:line="240" w:lineRule="auto"/>
            </w:pPr>
            <w:r>
              <w:rPr>
                <w:b/>
              </w:rPr>
              <w:t xml:space="preserve"/>
            </w:r>
          </w:p>
        </w:tc>
        <w:tc>
          <w:tcPr>
            <w:tcW w:w="2256" w:type="dxa"/>
            <w:shd w:val="clear" w:color="auto" w:fill="F2F2F2"/>
          </w:tcPr>
          <w:p>
            <w:pPr>
              <w:pStyle w:val="TableText"/>
              <w:jc w:val="left"/>
              <w:spacing w:before="20" w:after="20" w:line="240" w:lineRule="auto"/>
            </w:pPr>
            <w:r>
              <w:rPr>
                <w:b/>
              </w:rPr>
              <w:t xml:space="preserve">GSE91061</w:t>
            </w:r>
          </w:p>
        </w:tc>
        <w:tc>
          <w:tcPr>
            <w:tcW w:w="2256" w:type="dxa"/>
            <w:shd w:val="clear" w:color="auto" w:fill="F2F2F2"/>
          </w:tcPr>
          <w:p>
            <w:pPr>
              <w:pStyle w:val="TableText"/>
              <w:jc w:val="left"/>
              <w:spacing w:before="20" w:after="20" w:line="240" w:lineRule="auto"/>
            </w:pPr>
            <w:r>
              <w:rPr>
                <w:b/>
              </w:rPr>
              <w:t xml:space="preserve">GSE78220</w:t>
            </w:r>
          </w:p>
        </w:tc>
        <w:tc>
          <w:tcPr>
            <w:tcW w:w="2258" w:type="dxa"/>
            <w:shd w:val="clear" w:color="auto" w:fill="F2F2F2"/>
          </w:tcPr>
          <w:p>
            <w:pPr>
              <w:pStyle w:val="TableText"/>
              <w:jc w:val="left"/>
              <w:spacing w:before="20" w:after="20" w:line="240" w:lineRule="auto"/>
            </w:pPr>
            <w:r>
              <w:rPr>
                <w:b/>
              </w:rPr>
              <w:t xml:space="preserve">GSE215868</w:t>
            </w:r>
          </w:p>
        </w:tc>
      </w:tr>
      <w:tr>
        <w:trPr>
          <w:cantSplit/>
        </w:trPr>
        <w:tc>
          <w:tcPr>
            <w:tcW w:w="2256" w:type="dxa"/>
          </w:tcPr>
          <w:p>
            <w:pPr>
              <w:pStyle w:val="TableText"/>
              <w:jc w:val="left"/>
              <w:spacing w:before="20" w:after="20" w:line="240" w:lineRule="auto"/>
            </w:pPr>
            <w:r>
              <w:t xml:space="preserve">Platform</w:t>
            </w:r>
          </w:p>
        </w:tc>
        <w:tc>
          <w:tcPr>
            <w:tcW w:w="2256" w:type="dxa"/>
          </w:tcPr>
          <w:p>
            <w:pPr>
              <w:pStyle w:val="TableText"/>
              <w:jc w:val="left"/>
              <w:spacing w:before="20" w:after="20" w:line="240" w:lineRule="auto"/>
            </w:pPr>
            <w:r>
              <w:t xml:space="preserve">RNA-seq</w:t>
            </w:r>
          </w:p>
        </w:tc>
        <w:tc>
          <w:tcPr>
            <w:tcW w:w="2256" w:type="dxa"/>
          </w:tcPr>
          <w:p>
            <w:pPr>
              <w:pStyle w:val="TableText"/>
              <w:jc w:val="left"/>
              <w:spacing w:before="20" w:after="20" w:line="240" w:lineRule="auto"/>
            </w:pPr>
            <w:r>
              <w:t xml:space="preserve">bulk RNA-seq</w:t>
            </w:r>
          </w:p>
        </w:tc>
        <w:tc>
          <w:tcPr>
            <w:tcW w:w="2258" w:type="dxa"/>
          </w:tcPr>
          <w:p>
            <w:pPr>
              <w:pStyle w:val="TableText"/>
              <w:jc w:val="left"/>
              <w:spacing w:before="20" w:after="20" w:line="240" w:lineRule="auto"/>
            </w:pPr>
            <w:r>
              <w:t xml:space="preserve">NanoString IO 360 (770 genes)</w:t>
            </w:r>
          </w:p>
        </w:tc>
      </w:tr>
      <w:tr>
        <w:trPr>
          <w:cantSplit/>
        </w:trPr>
        <w:tc>
          <w:tcPr>
            <w:tcW w:w="2256" w:type="dxa"/>
          </w:tcPr>
          <w:p>
            <w:pPr>
              <w:pStyle w:val="TableText"/>
              <w:jc w:val="left"/>
              <w:spacing w:before="20" w:after="20" w:line="240" w:lineRule="auto"/>
            </w:pPr>
            <w:r>
              <w:t xml:space="preserve">Samples (GEO)</w:t>
            </w:r>
          </w:p>
        </w:tc>
        <w:tc>
          <w:tcPr>
            <w:tcW w:w="2256" w:type="dxa"/>
          </w:tcPr>
          <w:p>
            <w:pPr>
              <w:pStyle w:val="TableText"/>
              <w:jc w:val="left"/>
              <w:spacing w:before="20" w:after="20" w:line="240" w:lineRule="auto"/>
            </w:pPr>
            <w:r>
              <w:t xml:space="preserve">109</w:t>
            </w:r>
          </w:p>
        </w:tc>
        <w:tc>
          <w:tcPr>
            <w:tcW w:w="2256" w:type="dxa"/>
          </w:tcPr>
          <w:p>
            <w:pPr>
              <w:pStyle w:val="TableText"/>
              <w:jc w:val="left"/>
              <w:spacing w:before="20" w:after="20" w:line="240" w:lineRule="auto"/>
            </w:pPr>
            <w:r>
              <w:t xml:space="preserve">28</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Patients</w:t>
            </w:r>
          </w:p>
        </w:tc>
        <w:tc>
          <w:tcPr>
            <w:tcW w:w="2256" w:type="dxa"/>
          </w:tcPr>
          <w:p>
            <w:pPr>
              <w:pStyle w:val="TableText"/>
              <w:jc w:val="left"/>
              <w:spacing w:before="20" w:after="20" w:line="240" w:lineRule="auto"/>
            </w:pPr>
            <w:r>
              <w:t xml:space="preserve">65</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105</w:t>
            </w:r>
          </w:p>
        </w:tc>
      </w:tr>
      <w:tr>
        <w:trPr>
          <w:cantSplit/>
        </w:trPr>
        <w:tc>
          <w:tcPr>
            <w:tcW w:w="2256" w:type="dxa"/>
          </w:tcPr>
          <w:p>
            <w:pPr>
              <w:pStyle w:val="TableText"/>
              <w:jc w:val="left"/>
              <w:spacing w:before="20" w:after="20" w:line="240" w:lineRule="auto"/>
            </w:pPr>
            <w:r>
              <w:t xml:space="preserve">Evaluable patients</w:t>
            </w:r>
          </w:p>
        </w:tc>
        <w:tc>
          <w:tcPr>
            <w:tcW w:w="2256" w:type="dxa"/>
          </w:tcPr>
          <w:p>
            <w:pPr>
              <w:pStyle w:val="TableText"/>
              <w:jc w:val="left"/>
              <w:spacing w:before="20" w:after="20" w:line="240" w:lineRule="auto"/>
            </w:pPr>
            <w:r>
              <w:t xml:space="preserve">33</w:t>
            </w:r>
          </w:p>
        </w:tc>
        <w:tc>
          <w:tcPr>
            <w:tcW w:w="2256" w:type="dxa"/>
          </w:tcPr>
          <w:p>
            <w:pPr>
              <w:pStyle w:val="TableText"/>
              <w:jc w:val="left"/>
              <w:spacing w:before="20" w:after="20" w:line="240" w:lineRule="auto"/>
            </w:pPr>
            <w:r>
              <w:t xml:space="preserve">26</w:t>
            </w:r>
          </w:p>
        </w:tc>
        <w:tc>
          <w:tcPr>
            <w:tcW w:w="2258" w:type="dxa"/>
          </w:tcPr>
          <w:p>
            <w:pPr>
              <w:pStyle w:val="TableText"/>
              <w:jc w:val="left"/>
              <w:spacing w:before="20" w:after="20" w:line="240" w:lineRule="auto"/>
            </w:pPr>
            <w:r>
              <w:t xml:space="preserve">79</w:t>
            </w:r>
          </w:p>
        </w:tc>
      </w:tr>
      <w:tr>
        <w:trPr>
          <w:cantSplit/>
        </w:trPr>
        <w:tc>
          <w:tcPr>
            <w:tcW w:w="2256" w:type="dxa"/>
          </w:tcPr>
          <w:p>
            <w:pPr>
              <w:pStyle w:val="TableText"/>
              <w:jc w:val="left"/>
              <w:spacing w:before="20" w:after="20" w:line="240" w:lineRule="auto"/>
            </w:pPr>
            <w:r>
              <w:t xml:space="preserve">Responders / non-responders</w:t>
            </w:r>
          </w:p>
        </w:tc>
        <w:tc>
          <w:tcPr>
            <w:tcW w:w="2256" w:type="dxa"/>
          </w:tcPr>
          <w:p>
            <w:pPr>
              <w:pStyle w:val="TableText"/>
              <w:jc w:val="left"/>
              <w:spacing w:before="20" w:after="20" w:line="240" w:lineRule="auto"/>
            </w:pPr>
            <w:r>
              <w:t xml:space="preserve">10 / 23</w:t>
            </w:r>
          </w:p>
        </w:tc>
        <w:tc>
          <w:tcPr>
            <w:tcW w:w="2256" w:type="dxa"/>
          </w:tcPr>
          <w:p>
            <w:pPr>
              <w:pStyle w:val="TableText"/>
              <w:jc w:val="left"/>
              <w:spacing w:before="20" w:after="20" w:line="240" w:lineRule="auto"/>
            </w:pPr>
            <w:r>
              <w:t xml:space="preserve">14 / 12</w:t>
            </w:r>
          </w:p>
        </w:tc>
        <w:tc>
          <w:tcPr>
            <w:tcW w:w="2258" w:type="dxa"/>
          </w:tcPr>
          <w:p>
            <w:pPr>
              <w:pStyle w:val="TableText"/>
              <w:jc w:val="left"/>
              <w:spacing w:before="20" w:after="20" w:line="240" w:lineRule="auto"/>
            </w:pPr>
            <w:r>
              <w:t xml:space="preserve">45 / 34</w:t>
            </w:r>
          </w:p>
        </w:tc>
      </w:tr>
      <w:tr>
        <w:trPr>
          <w:cantSplit/>
        </w:trPr>
        <w:tc>
          <w:tcPr>
            <w:tcW w:w="2256" w:type="dxa"/>
          </w:tcPr>
          <w:p>
            <w:pPr>
              <w:pStyle w:val="TableText"/>
              <w:jc w:val="left"/>
              <w:spacing w:before="20" w:after="20" w:line="240" w:lineRule="auto"/>
            </w:pPr>
            <w:r>
              <w:t xml:space="preserve">Biopsy timepoint used</w:t>
            </w:r>
          </w:p>
        </w:tc>
        <w:tc>
          <w:tcPr>
            <w:tcW w:w="2256" w:type="dxa"/>
          </w:tcPr>
          <w:p>
            <w:pPr>
              <w:pStyle w:val="TableText"/>
              <w:jc w:val="left"/>
              <w:spacing w:before="20" w:after="20" w:line="240" w:lineRule="auto"/>
            </w:pPr>
            <w:r>
              <w:t xml:space="preserve">pre-treatment</w:t>
            </w:r>
          </w:p>
        </w:tc>
        <w:tc>
          <w:tcPr>
            <w:tcW w:w="2256" w:type="dxa"/>
          </w:tcPr>
          <w:p>
            <w:pPr>
              <w:pStyle w:val="TableText"/>
              <w:jc w:val="left"/>
              <w:spacing w:before="20" w:after="20" w:line="240" w:lineRule="auto"/>
            </w:pPr>
            <w:r>
              <w:t xml:space="preserve">pre-treatment (26 of 27)</w:t>
            </w:r>
          </w:p>
        </w:tc>
        <w:tc>
          <w:tcPr>
            <w:tcW w:w="2258" w:type="dxa"/>
          </w:tcPr>
          <w:p>
            <w:pPr>
              <w:pStyle w:val="TableText"/>
              <w:jc w:val="left"/>
              <w:spacing w:before="20" w:after="20" w:line="240" w:lineRule="auto"/>
            </w:pPr>
            <w:r>
              <w:t xml:space="preserve">pre-treatment (all)</w:t>
            </w:r>
          </w:p>
        </w:tc>
      </w:tr>
      <w:tr>
        <w:trPr>
          <w:cantSplit/>
        </w:trPr>
        <w:tc>
          <w:tcPr>
            <w:tcW w:w="2256" w:type="dxa"/>
          </w:tcPr>
          <w:p>
            <w:pPr>
              <w:pStyle w:val="TableText"/>
              <w:jc w:val="left"/>
              <w:spacing w:before="20" w:after="20" w:line="240" w:lineRule="auto"/>
            </w:pPr>
            <w:r>
              <w:t xml:space="preserve">Regimen</w:t>
            </w:r>
          </w:p>
        </w:tc>
        <w:tc>
          <w:tcPr>
            <w:tcW w:w="2256" w:type="dxa"/>
          </w:tcPr>
          <w:p>
            <w:pPr>
              <w:pStyle w:val="TableText"/>
              <w:jc w:val="left"/>
              <w:spacing w:before="20" w:after="20" w:line="240" w:lineRule="auto"/>
            </w:pPr>
            <w:r>
              <w:t xml:space="preserve">nivolumab</w:t>
            </w:r>
          </w:p>
        </w:tc>
        <w:tc>
          <w:tcPr>
            <w:tcW w:w="2256" w:type="dxa"/>
          </w:tcPr>
          <w:p>
            <w:pPr>
              <w:pStyle w:val="TableText"/>
              <w:jc w:val="left"/>
              <w:spacing w:before="20" w:after="20" w:line="240" w:lineRule="auto"/>
            </w:pPr>
            <w:r>
              <w:t xml:space="preserve">anti-PD-1</w:t>
            </w:r>
          </w:p>
        </w:tc>
        <w:tc>
          <w:tcPr>
            <w:tcW w:w="2258" w:type="dxa"/>
          </w:tcPr>
          <w:p>
            <w:pPr>
              <w:pStyle w:val="TableText"/>
              <w:jc w:val="left"/>
              <w:spacing w:before="20" w:after="20" w:line="240" w:lineRule="auto"/>
            </w:pPr>
            <w:r>
              <w:t xml:space="preserve">IPI+NIVO, pembrolizumab, nivolumab</w:t>
            </w:r>
          </w:p>
        </w:tc>
      </w:tr>
      <w:tr>
        <w:trPr>
          <w:cantSplit/>
        </w:trPr>
        <w:tc>
          <w:tcPr>
            <w:tcW w:w="2256" w:type="dxa"/>
          </w:tcPr>
          <w:p>
            <w:pPr>
              <w:pStyle w:val="TableText"/>
              <w:jc w:val="left"/>
              <w:spacing w:before="20" w:after="20" w:line="240" w:lineRule="auto"/>
            </w:pPr>
            <w:r>
              <w:t xml:space="preserve">Native endpoint</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24-month long-term benefit (PFS-derived)</w:t>
            </w:r>
          </w:p>
        </w:tc>
      </w:tr>
      <w:tr>
        <w:trPr>
          <w:cantSplit/>
        </w:trPr>
        <w:tc>
          <w:tcPr>
            <w:tcW w:w="2256" w:type="dxa"/>
          </w:tcPr>
          <w:p>
            <w:pPr>
              <w:pStyle w:val="TableText"/>
              <w:jc w:val="left"/>
              <w:spacing w:before="20" w:after="20" w:line="240" w:lineRule="auto"/>
            </w:pPr>
            <w:r>
              <w:t xml:space="preserve">Endpoint used here</w:t>
            </w:r>
          </w:p>
        </w:tc>
        <w:tc>
          <w:tcPr>
            <w:tcW w:w="2256" w:type="dxa"/>
          </w:tcPr>
          <w:p>
            <w:pPr>
              <w:pStyle w:val="TableText"/>
              <w:jc w:val="left"/>
              <w:spacing w:before="20" w:after="20" w:line="240" w:lineRule="auto"/>
            </w:pPr>
            <w:r>
              <w:t xml:space="preserve">RECIST</w:t>
            </w:r>
          </w:p>
        </w:tc>
        <w:tc>
          <w:tcPr>
            <w:tcW w:w="2256" w:type="dxa"/>
          </w:tcPr>
          <w:p>
            <w:pPr>
              <w:pStyle w:val="TableText"/>
              <w:jc w:val="left"/>
              <w:spacing w:before="20" w:after="20" w:line="240" w:lineRule="auto"/>
            </w:pPr>
            <w:r>
              <w:t xml:space="preserve">RECIST</w:t>
            </w:r>
          </w:p>
        </w:tc>
        <w:tc>
          <w:tcPr>
            <w:tcW w:w="2258" w:type="dxa"/>
          </w:tcPr>
          <w:p>
            <w:pPr>
              <w:pStyle w:val="TableText"/>
              <w:jc w:val="left"/>
              <w:spacing w:before="20" w:after="20" w:line="240" w:lineRule="auto"/>
            </w:pPr>
            <w:r>
              <w:t xml:space="preserve">RECIST (derived from best overall response)</w:t>
            </w:r>
          </w:p>
        </w:tc>
      </w:tr>
      <w:tr>
        <w:trPr>
          <w:cantSplit/>
        </w:trPr>
        <w:tc>
          <w:tcPr>
            <w:tcW w:w="2256" w:type="dxa"/>
          </w:tcPr>
          <w:p>
            <w:pPr>
              <w:pStyle w:val="TableText"/>
              <w:jc w:val="left"/>
              <w:spacing w:before="20" w:after="20" w:line="240" w:lineRule="auto"/>
            </w:pPr>
            <w:r>
              <w:t xml:space="preserve">Relation to IMPRES derivation</w:t>
            </w:r>
          </w:p>
        </w:tc>
        <w:tc>
          <w:tcPr>
            <w:tcW w:w="2256" w:type="dxa"/>
          </w:tcPr>
          <w:p>
            <w:pPr>
              <w:pStyle w:val="TableText"/>
              <w:jc w:val="left"/>
              <w:spacing w:before="20" w:after="20" w:line="240" w:lineRule="auto"/>
            </w:pPr>
            <w:r>
              <w:t xml:space="preserve">reported validation cohort</w:t>
            </w:r>
          </w:p>
        </w:tc>
        <w:tc>
          <w:tcPr>
            <w:tcW w:w="2256" w:type="dxa"/>
          </w:tcPr>
          <w:p>
            <w:pPr>
              <w:pStyle w:val="TableText"/>
              <w:jc w:val="left"/>
              <w:spacing w:before="20" w:after="20" w:line="240" w:lineRule="auto"/>
            </w:pPr>
            <w:r>
              <w:t xml:space="preserve">none</w:t>
            </w:r>
          </w:p>
        </w:tc>
        <w:tc>
          <w:tcPr>
            <w:tcW w:w="2258" w:type="dxa"/>
          </w:tcPr>
          <w:p>
            <w:pPr>
              <w:pStyle w:val="TableText"/>
              <w:jc w:val="left"/>
              <w:spacing w:before="20" w:after="2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0.086.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28400" cy="3613608"/>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0a8f09ebef0a44cd"/>
                    <a:stretch>
                      <a:fillRect/>
                    </a:stretch>
                  </pic:blipFill>
                  <pic:spPr>
                    <a:xfrm>
                      <a:off x="0" y="0"/>
                      <a:ext cx="5828400" cy="3613608"/>
                    </a:xfrm>
                    <a:prstGeom prst="rect">
                      <a:avLst/>
                    </a:prstGeom>
                  </pic:spPr>
                </pic:pic>
              </a:graphicData>
            </a:graphic>
          </wp:inline>
        </w:drawing>
      </w:r>
    </w:p>
    <w:p>
      <w:pPr>
        <w:pStyle w:val="Caption"/>
        <w:jc w:val="left"/>
      </w:pPr>
      <w:r>
        <w:t>Figure 4. Nested cross-validation performance under the three registered AUC conventions, for the pre-registered six-signature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Convention</w:t>
            </w:r>
          </w:p>
        </w:tc>
        <w:tc>
          <w:tcPr>
            <w:tcW w:w="3008" w:type="dxa"/>
            <w:shd w:val="clear" w:color="auto" w:fill="F2F2F2"/>
          </w:tcPr>
          <w:p>
            <w:pPr>
              <w:pStyle w:val="TableText"/>
              <w:jc w:val="left"/>
              <w:spacing w:before="20" w:after="20" w:line="240" w:lineRule="auto"/>
            </w:pPr>
            <w:r>
              <w:rPr>
                <w:b/>
              </w:rPr>
              <w:t xml:space="preserve">Pre-registered panel (6 features)</w:t>
            </w:r>
          </w:p>
        </w:tc>
        <w:tc>
          <w:tcPr>
            <w:tcW w:w="3010" w:type="dxa"/>
            <w:shd w:val="clear" w:color="auto" w:fill="F2F2F2"/>
          </w:tcPr>
          <w:p>
            <w:pPr>
              <w:pStyle w:val="TableText"/>
              <w:jc w:val="left"/>
              <w:spacing w:before="20" w:after="20" w:line="240" w:lineRule="auto"/>
            </w:pPr>
            <w:r>
              <w:rPr>
                <w:b/>
              </w:rPr>
              <w:t xml:space="preserve">Set actually used (17 features)</w:t>
            </w:r>
          </w:p>
        </w:tc>
      </w:tr>
      <w:tr>
        <w:trPr>
          <w:cantSplit/>
        </w:trPr>
        <w:tc>
          <w:tcPr>
            <w:tcW w:w="3008" w:type="dxa"/>
          </w:tcPr>
          <w:p>
            <w:pPr>
              <w:pStyle w:val="TableText"/>
              <w:jc w:val="left"/>
              <w:spacing w:before="20" w:after="20" w:line="240" w:lineRule="auto"/>
            </w:pPr>
            <w:r>
              <w:t xml:space="preserve">Pooled out-of-fold AUC</w:t>
            </w:r>
          </w:p>
        </w:tc>
        <w:tc>
          <w:tcPr>
            <w:tcW w:w="3008" w:type="dxa"/>
          </w:tcPr>
          <w:p>
            <w:pPr>
              <w:pStyle w:val="TableText"/>
              <w:jc w:val="left"/>
              <w:spacing w:before="20" w:after="20" w:line="240" w:lineRule="auto"/>
            </w:pPr>
            <w:r>
              <w:t xml:space="preserve">0.417</w:t>
            </w:r>
          </w:p>
        </w:tc>
        <w:tc>
          <w:tcPr>
            <w:tcW w:w="3010" w:type="dxa"/>
          </w:tcPr>
          <w:p>
            <w:pPr>
              <w:pStyle w:val="TableText"/>
              <w:jc w:val="left"/>
              <w:spacing w:before="20" w:after="20" w:line="240" w:lineRule="auto"/>
            </w:pPr>
            <w:r>
              <w:t xml:space="preserve">0.500</w:t>
            </w:r>
          </w:p>
        </w:tc>
      </w:tr>
      <w:tr>
        <w:trPr>
          <w:cantSplit/>
        </w:trPr>
        <w:tc>
          <w:tcPr>
            <w:tcW w:w="3008" w:type="dxa"/>
          </w:tcPr>
          <w:p>
            <w:pPr>
              <w:pStyle w:val="TableText"/>
              <w:jc w:val="left"/>
              <w:spacing w:before="20" w:after="20" w:line="240" w:lineRule="auto"/>
            </w:pPr>
            <w:r>
              <w:t xml:space="preserve">Mean across repeats ± SD</w:t>
            </w:r>
          </w:p>
        </w:tc>
        <w:tc>
          <w:tcPr>
            <w:tcW w:w="3008" w:type="dxa"/>
          </w:tcPr>
          <w:p>
            <w:pPr>
              <w:pStyle w:val="TableText"/>
              <w:jc w:val="left"/>
              <w:spacing w:before="20" w:after="20" w:line="240" w:lineRule="auto"/>
            </w:pPr>
            <w:r>
              <w:t xml:space="preserve">0.408 ± 0.046</w:t>
            </w:r>
          </w:p>
        </w:tc>
        <w:tc>
          <w:tcPr>
            <w:tcW w:w="3010" w:type="dxa"/>
          </w:tcPr>
          <w:p>
            <w:pPr>
              <w:pStyle w:val="TableText"/>
              <w:jc w:val="left"/>
              <w:spacing w:before="20" w:after="20" w:line="240" w:lineRule="auto"/>
            </w:pPr>
            <w:r>
              <w:t xml:space="preserve">0.516 ± 0.112</w:t>
            </w:r>
          </w:p>
        </w:tc>
      </w:tr>
      <w:tr>
        <w:trPr>
          <w:cantSplit/>
        </w:trPr>
        <w:tc>
          <w:tcPr>
            <w:tcW w:w="3008" w:type="dxa"/>
          </w:tcPr>
          <w:p>
            <w:pPr>
              <w:pStyle w:val="TableText"/>
              <w:jc w:val="left"/>
              <w:spacing w:before="20" w:after="20" w:line="240" w:lineRule="auto"/>
            </w:pPr>
            <w:r>
              <w:t xml:space="preserve">Mean across outer folds ± SD</w:t>
            </w:r>
          </w:p>
        </w:tc>
        <w:tc>
          <w:tcPr>
            <w:tcW w:w="3008" w:type="dxa"/>
          </w:tcPr>
          <w:p>
            <w:pPr>
              <w:pStyle w:val="TableText"/>
              <w:jc w:val="left"/>
              <w:spacing w:before="20" w:after="20" w:line="240" w:lineRule="auto"/>
            </w:pPr>
            <w:r>
              <w:t xml:space="preserve">0.347 ± 0.213</w:t>
            </w:r>
          </w:p>
        </w:tc>
        <w:tc>
          <w:tcPr>
            <w:tcW w:w="3010" w:type="dxa"/>
          </w:tcPr>
          <w:p>
            <w:pPr>
              <w:pStyle w:val="TableText"/>
              <w:jc w:val="left"/>
              <w:spacing w:before="20" w:after="20" w:line="240" w:lineRule="auto"/>
            </w:pPr>
            <w:r>
              <w:t xml:space="preserve">0.549 ± 0.086</w:t>
            </w:r>
          </w:p>
        </w:tc>
      </w:tr>
    </w:tbl>
    <w:p>
      <w:pPr>
        <w:pStyle w:val="Normal"/>
        <w:spacing w:before="0" w:after="0" w:line="240" w:lineRule="auto"/>
      </w:pPr>
    </w:p>
    <w:p>
      <w:pPr>
        <w:pStyle w:val="Heading2"/>
      </w:pPr>
      <w:r>
        <w:t>3.4. Signature 1 Across Cohorts: Directional Erraticism</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published direction. All three point estimates exceed 0.50, and none of the intervals does so significantly. Under the registered criterion, all three cohorts are recorded as non-reproducing.</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Confirming a discrimination of the observed magnitude would require approximately 53 patients per group, against the 45 and 34 available here (Section 3.7).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462b8706bdbb41c1"/>
                    <a:stretch>
                      <a:fillRect/>
                    </a:stretch>
                  </pic:blipFill>
                  <pic:spPr>
                    <a:xfrm>
                      <a:off x="0" y="0"/>
                      <a:ext cx="5515200" cy="3419424"/>
                    </a:xfrm>
                    <a:prstGeom prst="rect">
                      <a:avLst/>
                    </a:prstGeom>
                  </pic:spPr>
                </pic:pic>
              </a:graphicData>
            </a:graphic>
          </wp:inline>
        </w:drawing>
      </w:r>
    </w:p>
    <w:p>
      <w:pPr>
        <w:pStyle w:val="Caption"/>
        <w:jc w:val="left"/>
      </w:pPr>
      <w:r>
        <w:t>Figure 2. Discrimination of both signatures across the three validation cohorts, in the pre-registered direction, with 95% bootstrap confidence intervals. The dashed line marks chance; the upper band marks the replication criterion. Neither signature reaches it, so neither is reported as reproduced; they nonetheless fail differently, in that IMPRES does not agree on a direction and IPS-MHC+CP does.</w:t>
      </w:r>
    </w:p>
    <w:p>
      <w:pPr>
        <w:pStyle w:val="Caption"/>
        <w:keepNext/>
        <w:jc w:val="left"/>
      </w:pPr>
      <w:r>
        <w:rPr>
          <w:b/>
        </w:rPr>
        <w:t>Table 3. Cross-cohort results for both signatures. Single-cohort AUCs with bootstrap 95% intervals, and random-effects pooled estimates (n = 138).</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shd w:val="clear" w:color="auto" w:fill="F2F2F2"/>
          </w:tcPr>
          <w:p>
            <w:pPr>
              <w:pStyle w:val="TableText"/>
              <w:jc w:val="left"/>
              <w:spacing w:before="20" w:after="20" w:line="240" w:lineRule="auto"/>
            </w:pPr>
            <w:r>
              <w:rPr>
                <w:b/>
              </w:rPr>
              <w:t xml:space="preserve">Signature</w:t>
            </w:r>
          </w:p>
        </w:tc>
        <w:tc>
          <w:tcPr>
            <w:tcW w:w="1138" w:type="dxa"/>
            <w:shd w:val="clear" w:color="auto" w:fill="F2F2F2"/>
          </w:tcPr>
          <w:p>
            <w:pPr>
              <w:pStyle w:val="TableText"/>
              <w:jc w:val="left"/>
              <w:spacing w:before="20" w:after="20" w:line="240" w:lineRule="auto"/>
            </w:pPr>
            <w:r>
              <w:rPr>
                <w:b/>
              </w:rPr>
              <w:t xml:space="preserve">GSE91061</w:t>
            </w:r>
          </w:p>
        </w:tc>
        <w:tc>
          <w:tcPr>
            <w:tcW w:w="1138" w:type="dxa"/>
            <w:shd w:val="clear" w:color="auto" w:fill="F2F2F2"/>
          </w:tcPr>
          <w:p>
            <w:pPr>
              <w:pStyle w:val="TableText"/>
              <w:jc w:val="left"/>
              <w:spacing w:before="20" w:after="20" w:line="240" w:lineRule="auto"/>
            </w:pPr>
            <w:r>
              <w:rPr>
                <w:b/>
              </w:rPr>
              <w:t xml:space="preserve">GSE78220</w:t>
            </w:r>
          </w:p>
        </w:tc>
        <w:tc>
          <w:tcPr>
            <w:tcW w:w="1138" w:type="dxa"/>
            <w:shd w:val="clear" w:color="auto" w:fill="F2F2F2"/>
          </w:tcPr>
          <w:p>
            <w:pPr>
              <w:pStyle w:val="TableText"/>
              <w:jc w:val="left"/>
              <w:spacing w:before="20" w:after="20" w:line="240" w:lineRule="auto"/>
            </w:pPr>
            <w:r>
              <w:rPr>
                <w:b/>
              </w:rPr>
              <w:t xml:space="preserve">GSE215868</w:t>
            </w:r>
          </w:p>
        </w:tc>
        <w:tc>
          <w:tcPr>
            <w:tcW w:w="1265" w:type="dxa"/>
            <w:shd w:val="clear" w:color="auto" w:fill="F2F2F2"/>
          </w:tcPr>
          <w:p>
            <w:pPr>
              <w:pStyle w:val="TableText"/>
              <w:jc w:val="left"/>
              <w:spacing w:before="20" w:after="20" w:line="240" w:lineRule="auto"/>
            </w:pPr>
            <w:r>
              <w:rPr>
                <w:b/>
              </w:rPr>
              <w:t xml:space="preserve">Pooled (RE)</w:t>
            </w:r>
          </w:p>
        </w:tc>
        <w:tc>
          <w:tcPr>
            <w:tcW w:w="674" w:type="dxa"/>
            <w:shd w:val="clear" w:color="auto" w:fill="F2F2F2"/>
          </w:tcPr>
          <w:p>
            <w:pPr>
              <w:pStyle w:val="TableText"/>
              <w:jc w:val="left"/>
              <w:spacing w:before="20" w:after="20" w:line="240" w:lineRule="auto"/>
            </w:pPr>
            <w:r>
              <w:rPr>
                <w:b/>
              </w:rPr>
              <w:t xml:space="preserve">I²</w:t>
            </w:r>
          </w:p>
        </w:tc>
        <w:tc>
          <w:tcPr>
            <w:tcW w:w="759" w:type="dxa"/>
            <w:shd w:val="clear" w:color="auto" w:fill="F2F2F2"/>
          </w:tcPr>
          <w:p>
            <w:pPr>
              <w:pStyle w:val="TableText"/>
              <w:jc w:val="left"/>
              <w:spacing w:before="20" w:after="20" w:line="240" w:lineRule="auto"/>
            </w:pPr>
            <w:r>
              <w:rPr>
                <w:b/>
              </w:rPr>
              <w:t xml:space="preserve">p vs 0.50</w:t>
            </w:r>
          </w:p>
        </w:tc>
        <w:tc>
          <w:tcPr>
            <w:tcW w:w="806" w:type="dxa"/>
            <w:shd w:val="clear" w:color="auto" w:fill="F2F2F2"/>
          </w:tcPr>
          <w:p>
            <w:pPr>
              <w:pStyle w:val="TableText"/>
              <w:jc w:val="left"/>
              <w:spacing w:before="20" w:after="20" w:line="240" w:lineRule="auto"/>
            </w:pPr>
            <w:r>
              <w:rPr>
                <w:b/>
              </w:rPr>
              <w:t xml:space="preserve">Sign test p</w:t>
            </w:r>
          </w:p>
        </w:tc>
      </w:tr>
      <w:tr>
        <w:trPr>
          <w:cantSplit/>
        </w:trPr>
        <w:tc>
          <w:tcPr>
            <w:tcW w:w="2108" w:type="dxa"/>
          </w:tcPr>
          <w:p>
            <w:pPr>
              <w:pStyle w:val="TableText"/>
              <w:jc w:val="left"/>
              <w:spacing w:before="20" w:after="20" w:line="240" w:lineRule="auto"/>
            </w:pPr>
            <w:r>
              <w:t xml:space="preserve">IMPRES, pre-registered direction</w:t>
            </w:r>
          </w:p>
        </w:tc>
        <w:tc>
          <w:tcPr>
            <w:tcW w:w="1138" w:type="dxa"/>
          </w:tcPr>
          <w:p>
            <w:pPr>
              <w:pStyle w:val="TableText"/>
              <w:jc w:val="left"/>
              <w:spacing w:before="20" w:after="20" w:line="240" w:lineRule="auto"/>
            </w:pPr>
            <w:r>
              <w:t xml:space="preserve">0.359 (0.172–0.552)</w:t>
            </w:r>
          </w:p>
        </w:tc>
        <w:tc>
          <w:tcPr>
            <w:tcW w:w="1138" w:type="dxa"/>
          </w:tcPr>
          <w:p>
            <w:pPr>
              <w:pStyle w:val="TableText"/>
              <w:jc w:val="left"/>
              <w:spacing w:before="20" w:after="20" w:line="240" w:lineRule="auto"/>
            </w:pPr>
            <w:r>
              <w:t xml:space="preserve">0.298 (0.122–0.521)</w:t>
            </w:r>
          </w:p>
        </w:tc>
        <w:tc>
          <w:tcPr>
            <w:tcW w:w="1138" w:type="dxa"/>
          </w:tcPr>
          <w:p>
            <w:pPr>
              <w:pStyle w:val="TableText"/>
              <w:jc w:val="left"/>
              <w:spacing w:before="20" w:after="20" w:line="240" w:lineRule="auto"/>
            </w:pPr>
            <w:r>
              <w:t xml:space="preserve">0.505 (0.380–0.631)</w:t>
            </w:r>
          </w:p>
        </w:tc>
        <w:tc>
          <w:tcPr>
            <w:tcW w:w="1265" w:type="dxa"/>
          </w:tcPr>
          <w:p>
            <w:pPr>
              <w:pStyle w:val="TableText"/>
              <w:jc w:val="left"/>
              <w:spacing w:before="20" w:after="20" w:line="240" w:lineRule="auto"/>
            </w:pPr>
            <w:r>
              <w:t xml:space="preserve">0.415 (0.293–0.549)</w:t>
            </w:r>
          </w:p>
        </w:tc>
        <w:tc>
          <w:tcPr>
            <w:tcW w:w="674" w:type="dxa"/>
          </w:tcPr>
          <w:p>
            <w:pPr>
              <w:pStyle w:val="TableText"/>
              <w:jc w:val="left"/>
              <w:spacing w:before="20" w:after="20" w:line="240" w:lineRule="auto"/>
            </w:pPr>
            <w:r>
              <w:t xml:space="preserve">34.6%</w:t>
            </w:r>
          </w:p>
        </w:tc>
        <w:tc>
          <w:tcPr>
            <w:tcW w:w="759" w:type="dxa"/>
          </w:tcPr>
          <w:p>
            <w:pPr>
              <w:pStyle w:val="TableText"/>
              <w:jc w:val="left"/>
              <w:spacing w:before="20" w:after="20" w:line="240" w:lineRule="auto"/>
            </w:pPr>
            <w:r>
              <w:t xml:space="preserve">0.213</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IMPRES, mirrored</w:t>
            </w:r>
          </w:p>
        </w:tc>
        <w:tc>
          <w:tcPr>
            <w:tcW w:w="1138" w:type="dxa"/>
          </w:tcPr>
          <w:p>
            <w:pPr>
              <w:pStyle w:val="TableText"/>
              <w:jc w:val="left"/>
              <w:spacing w:before="20" w:after="20" w:line="240" w:lineRule="auto"/>
            </w:pPr>
            <w:r>
              <w:t xml:space="preserve">0.659 (0.452–0.843)</w:t>
            </w:r>
          </w:p>
        </w:tc>
        <w:tc>
          <w:tcPr>
            <w:tcW w:w="1138" w:type="dxa"/>
          </w:tcPr>
          <w:p>
            <w:pPr>
              <w:pStyle w:val="TableText"/>
              <w:jc w:val="left"/>
              <w:spacing w:before="20" w:after="20" w:line="240" w:lineRule="auto"/>
            </w:pPr>
            <w:r>
              <w:t xml:space="preserve">0.583 (0.351–0.786)</w:t>
            </w:r>
          </w:p>
        </w:tc>
        <w:tc>
          <w:tcPr>
            <w:tcW w:w="1138" w:type="dxa"/>
          </w:tcPr>
          <w:p>
            <w:pPr>
              <w:pStyle w:val="TableText"/>
              <w:jc w:val="left"/>
              <w:spacing w:before="20" w:after="20" w:line="240" w:lineRule="auto"/>
            </w:pPr>
            <w:r>
              <w:t xml:space="preserve">0.483 (0.358–0.608)</w:t>
            </w:r>
          </w:p>
        </w:tc>
        <w:tc>
          <w:tcPr>
            <w:tcW w:w="1265" w:type="dxa"/>
          </w:tcPr>
          <w:p>
            <w:pPr>
              <w:pStyle w:val="TableText"/>
              <w:jc w:val="left"/>
              <w:spacing w:before="20" w:after="20" w:line="240" w:lineRule="auto"/>
            </w:pPr>
            <w:r>
              <w:t xml:space="preserve">0.537 (0.435–0.635)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0.480</w:t>
            </w:r>
          </w:p>
        </w:tc>
        <w:tc>
          <w:tcPr>
            <w:tcW w:w="806" w:type="dxa"/>
          </w:tcPr>
          <w:p>
            <w:pPr>
              <w:pStyle w:val="TableText"/>
              <w:jc w:val="left"/>
              <w:spacing w:before="20" w:after="20" w:line="240" w:lineRule="auto"/>
            </w:pPr>
            <w:r>
              <w:t xml:space="preserve">1.00</w:t>
            </w:r>
          </w:p>
        </w:tc>
      </w:tr>
      <w:tr>
        <w:trPr>
          <w:cantSplit/>
        </w:trPr>
        <w:tc>
          <w:tcPr>
            <w:tcW w:w="2108" w:type="dxa"/>
          </w:tcPr>
          <w:p>
            <w:pPr>
              <w:pStyle w:val="TableText"/>
              <w:jc w:val="left"/>
              <w:spacing w:before="20" w:after="20" w:line="240" w:lineRule="auto"/>
            </w:pPr>
            <w:r>
              <w:t xml:space="preserve">IPS-MHC+CP, published direction</w:t>
            </w:r>
          </w:p>
        </w:tc>
        <w:tc>
          <w:tcPr>
            <w:tcW w:w="1138" w:type="dxa"/>
          </w:tcPr>
          <w:p>
            <w:pPr>
              <w:pStyle w:val="TableText"/>
              <w:jc w:val="left"/>
              <w:spacing w:before="20" w:after="20" w:line="240" w:lineRule="auto"/>
            </w:pPr>
            <w:r>
              <w:t xml:space="preserve">0.604 (0.365–0.822)</w:t>
            </w:r>
          </w:p>
        </w:tc>
        <w:tc>
          <w:tcPr>
            <w:tcW w:w="1138" w:type="dxa"/>
          </w:tcPr>
          <w:p>
            <w:pPr>
              <w:pStyle w:val="TableText"/>
              <w:jc w:val="left"/>
              <w:spacing w:before="20" w:after="20" w:line="240" w:lineRule="auto"/>
            </w:pPr>
            <w:r>
              <w:t xml:space="preserve">0.583 (0.339–0.821)</w:t>
            </w:r>
          </w:p>
        </w:tc>
        <w:tc>
          <w:tcPr>
            <w:tcW w:w="1138" w:type="dxa"/>
          </w:tcPr>
          <w:p>
            <w:pPr>
              <w:pStyle w:val="TableText"/>
              <w:jc w:val="left"/>
              <w:spacing w:before="20" w:after="20" w:line="240" w:lineRule="auto"/>
            </w:pPr>
            <w:r>
              <w:t xml:space="preserve">0.591 (0.463–0.714)</w:t>
            </w:r>
          </w:p>
        </w:tc>
        <w:tc>
          <w:tcPr>
            <w:tcW w:w="1265" w:type="dxa"/>
          </w:tcPr>
          <w:p>
            <w:pPr>
              <w:pStyle w:val="TableText"/>
              <w:jc w:val="left"/>
              <w:spacing w:before="20" w:after="20" w:line="240" w:lineRule="auto"/>
            </w:pPr>
            <w:r>
              <w:t xml:space="preserve">0.592 (0.492–0.685)</w:t>
            </w:r>
          </w:p>
        </w:tc>
        <w:tc>
          <w:tcPr>
            <w:tcW w:w="674" w:type="dxa"/>
          </w:tcPr>
          <w:p>
            <w:pPr>
              <w:pStyle w:val="TableText"/>
              <w:jc w:val="left"/>
              <w:spacing w:before="20" w:after="20" w:line="240" w:lineRule="auto"/>
            </w:pPr>
            <w:r>
              <w:t xml:space="preserve">0.0%</w:t>
            </w:r>
          </w:p>
        </w:tc>
        <w:tc>
          <w:tcPr>
            <w:tcW w:w="759" w:type="dxa"/>
          </w:tcPr>
          <w:p>
            <w:pPr>
              <w:pStyle w:val="TableText"/>
              <w:jc w:val="left"/>
              <w:spacing w:before="20" w:after="20" w:line="240" w:lineRule="auto"/>
            </w:pPr>
            <w:r>
              <w:t xml:space="preserve">0.071</w:t>
            </w:r>
          </w:p>
        </w:tc>
        <w:tc>
          <w:tcPr>
            <w:tcW w:w="806" w:type="dxa"/>
          </w:tcPr>
          <w:p>
            <w:pPr>
              <w:pStyle w:val="TableText"/>
              <w:jc w:val="left"/>
              <w:spacing w:before="20" w:after="2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with the available sample size is 0.661.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shd w:val="clear" w:color="auto" w:fill="F2F2F2"/>
          </w:tcPr>
          <w:p>
            <w:pPr>
              <w:pStyle w:val="TableText"/>
              <w:jc w:val="left"/>
              <w:spacing w:before="20" w:after="20" w:line="240" w:lineRule="auto"/>
            </w:pPr>
            <w:r>
              <w:rPr>
                <w:b/>
              </w:rPr>
              <w:t xml:space="preserve">True AUC</w:t>
            </w:r>
          </w:p>
        </w:tc>
        <w:tc>
          <w:tcPr>
            <w:tcW w:w="1805" w:type="dxa"/>
            <w:shd w:val="clear" w:color="auto" w:fill="F2F2F2"/>
          </w:tcPr>
          <w:p>
            <w:pPr>
              <w:pStyle w:val="TableText"/>
              <w:jc w:val="left"/>
              <w:spacing w:before="20" w:after="20" w:line="240" w:lineRule="auto"/>
            </w:pPr>
            <w:r>
              <w:rPr>
                <w:b/>
              </w:rPr>
              <w:t xml:space="preserve">0.60</w:t>
            </w:r>
          </w:p>
        </w:tc>
        <w:tc>
          <w:tcPr>
            <w:tcW w:w="1805" w:type="dxa"/>
            <w:shd w:val="clear" w:color="auto" w:fill="F2F2F2"/>
          </w:tcPr>
          <w:p>
            <w:pPr>
              <w:pStyle w:val="TableText"/>
              <w:jc w:val="left"/>
              <w:spacing w:before="20" w:after="20" w:line="240" w:lineRule="auto"/>
            </w:pPr>
            <w:r>
              <w:rPr>
                <w:b/>
              </w:rPr>
              <w:t xml:space="preserve">0.65</w:t>
            </w:r>
          </w:p>
        </w:tc>
        <w:tc>
          <w:tcPr>
            <w:tcW w:w="1805" w:type="dxa"/>
            <w:shd w:val="clear" w:color="auto" w:fill="F2F2F2"/>
          </w:tcPr>
          <w:p>
            <w:pPr>
              <w:pStyle w:val="TableText"/>
              <w:jc w:val="left"/>
              <w:spacing w:before="20" w:after="20" w:line="240" w:lineRule="auto"/>
            </w:pPr>
            <w:r>
              <w:rPr>
                <w:b/>
              </w:rPr>
              <w:t xml:space="preserve">0.70</w:t>
            </w:r>
          </w:p>
        </w:tc>
        <w:tc>
          <w:tcPr>
            <w:tcW w:w="1806" w:type="dxa"/>
            <w:shd w:val="clear" w:color="auto" w:fill="F2F2F2"/>
          </w:tcPr>
          <w:p>
            <w:pPr>
              <w:pStyle w:val="TableText"/>
              <w:jc w:val="left"/>
              <w:spacing w:before="20" w:after="20" w:line="240" w:lineRule="auto"/>
            </w:pPr>
            <w:r>
              <w:rPr>
                <w:b/>
              </w:rPr>
              <w:t xml:space="preserve">0.77</w:t>
            </w:r>
          </w:p>
        </w:tc>
      </w:tr>
      <w:tr>
        <w:trPr>
          <w:cantSplit/>
        </w:trPr>
        <w:tc>
          <w:tcPr>
            <w:tcW w:w="1805" w:type="dxa"/>
          </w:tcPr>
          <w:p>
            <w:pPr>
              <w:pStyle w:val="TableText"/>
              <w:jc w:val="left"/>
              <w:spacing w:before="20" w:after="20" w:line="240" w:lineRule="auto"/>
            </w:pPr>
            <w:r>
              <w:t xml:space="preserve">Power</w:t>
            </w:r>
          </w:p>
        </w:tc>
        <w:tc>
          <w:tcPr>
            <w:tcW w:w="1805" w:type="dxa"/>
          </w:tcPr>
          <w:p>
            <w:pPr>
              <w:pStyle w:val="TableText"/>
              <w:jc w:val="left"/>
              <w:spacing w:before="20" w:after="20" w:line="240" w:lineRule="auto"/>
            </w:pPr>
            <w:r>
              <w:t xml:space="preserve">0.347</w:t>
            </w:r>
          </w:p>
        </w:tc>
        <w:tc>
          <w:tcPr>
            <w:tcW w:w="1805" w:type="dxa"/>
          </w:tcPr>
          <w:p>
            <w:pPr>
              <w:pStyle w:val="TableText"/>
              <w:jc w:val="left"/>
              <w:spacing w:before="20" w:after="20" w:line="240" w:lineRule="auto"/>
            </w:pPr>
            <w:r>
              <w:t xml:space="preserve">0.685</w:t>
            </w:r>
          </w:p>
        </w:tc>
        <w:tc>
          <w:tcPr>
            <w:tcW w:w="1805" w:type="dxa"/>
          </w:tcPr>
          <w:p>
            <w:pPr>
              <w:pStyle w:val="TableText"/>
              <w:jc w:val="left"/>
              <w:spacing w:before="20" w:after="20" w:line="240" w:lineRule="auto"/>
            </w:pPr>
            <w:r>
              <w:t xml:space="preserve">0.929</w:t>
            </w:r>
          </w:p>
        </w:tc>
        <w:tc>
          <w:tcPr>
            <w:tcW w:w="1806" w:type="dxa"/>
          </w:tcPr>
          <w:p>
            <w:pPr>
              <w:pStyle w:val="TableText"/>
              <w:jc w:val="left"/>
              <w:spacing w:before="20" w:after="2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estimate exactly (AUC 0.359, 0.180–0.557; 10 responders, 23 non-responders), which also serves as an independent check that the scoring implementation is stable. The on-treatment stratum did not recover the signal; it reversed, giving 0.172 (0.057–0.309) with 12 responders and 24 non-responders, an interval lying entirely below chance. Pooling both visits gives 0.250 (0.140–0.370).</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complete stratified table is published: a table that reported only the favourable strata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21eb9926970145ed"/>
                    <a:stretch>
                      <a:fillRect/>
                    </a:stretch>
                  </pic:blipFill>
                  <pic:spPr>
                    <a:xfrm>
                      <a:off x="0" y="0"/>
                      <a:ext cx="6163200" cy="3821184"/>
                    </a:xfrm>
                    <a:prstGeom prst="rect">
                      <a:avLst/>
                    </a:prstGeom>
                  </pic:spPr>
                </pic:pic>
              </a:graphicData>
            </a:graphic>
          </wp:inline>
        </w:drawing>
      </w:r>
    </w:p>
    <w:p>
      <w:pPr>
        <w:pStyle w:val="Caption"/>
        <w:jc w:val="left"/>
      </w:pPr>
      <w:r>
        <w:t>Figure 3. The seven technical explanations registered in advance and the artefact used to exclude each, with the two explanations that the available data cannot address. Item 7 required no data panel and is documented in the band. Panels (d) to (f) are stratified analyses reported in full, including strata that do not favour the conclusion.</w:t>
      </w:r>
    </w:p>
    <w:p>
      <w:pPr>
        <w:pStyle w:val="Caption"/>
        <w:keepNext/>
        <w:jc w:val="left"/>
      </w:pPr>
      <w:r>
        <w:rPr>
          <w:b/>
        </w:rPr>
        <w:t>Table 5. Attribution boundary. Alternative explanations for the negative result, whether the present data can exclude them, and the artefact that does so.</w:t>
      </w:r>
    </w:p>
    <w:tbl>
      <w:tblPr>
        <w:tblW w:w="5000" w:type="pct"/>
        <w:tblBorders>
          <w:top w:val="single" w:sz="8" w:space="0"/>
          <w:bottom w:val="single" w:sz="8" w:space="0"/>
          <w:left w:val="none"/>
          <w:right w:val="none"/>
          <w:insideH w:val="single" w:sz="4" w:space="0"/>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shd w:val="clear" w:color="auto" w:fill="F2F2F2"/>
          </w:tcPr>
          <w:p>
            <w:pPr>
              <w:pStyle w:val="TableText"/>
              <w:jc w:val="left"/>
              <w:spacing w:before="20" w:after="20" w:line="240" w:lineRule="auto"/>
            </w:pPr>
            <w:r>
              <w:rPr>
                <w:b/>
              </w:rPr>
              <w:t xml:space="preserve">Alternative explanation</w:t>
            </w:r>
          </w:p>
        </w:tc>
        <w:tc>
          <w:tcPr>
            <w:tcW w:w="3008" w:type="dxa"/>
            <w:shd w:val="clear" w:color="auto" w:fill="F2F2F2"/>
          </w:tcPr>
          <w:p>
            <w:pPr>
              <w:pStyle w:val="TableText"/>
              <w:jc w:val="left"/>
              <w:spacing w:before="20" w:after="20" w:line="240" w:lineRule="auto"/>
            </w:pPr>
            <w:r>
              <w:rPr>
                <w:b/>
              </w:rPr>
              <w:t xml:space="preserve">Excludable here?</w:t>
            </w:r>
          </w:p>
        </w:tc>
        <w:tc>
          <w:tcPr>
            <w:tcW w:w="3010" w:type="dxa"/>
            <w:shd w:val="clear" w:color="auto" w:fill="F2F2F2"/>
          </w:tcPr>
          <w:p>
            <w:pPr>
              <w:pStyle w:val="TableText"/>
              <w:jc w:val="left"/>
              <w:spacing w:before="20" w:after="20" w:line="240" w:lineRule="auto"/>
            </w:pPr>
            <w:r>
              <w:rPr>
                <w:b/>
              </w:rPr>
              <w:t xml:space="preserve">Basis</w:t>
            </w:r>
          </w:p>
        </w:tc>
      </w:tr>
      <w:tr>
        <w:trPr>
          <w:cantSplit/>
        </w:trPr>
        <w:tc>
          <w:tcPr>
            <w:tcW w:w="3008" w:type="dxa"/>
          </w:tcPr>
          <w:p>
            <w:pPr>
              <w:pStyle w:val="TableText"/>
              <w:jc w:val="left"/>
              <w:spacing w:before="20" w:after="20" w:line="240" w:lineRule="auto"/>
            </w:pPr>
            <w:r>
              <w:t xml:space="preserve">Implementation error</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Normalisation-invariance check: 4 normalisations × 2 directions, 8/8 identical scores</w:t>
            </w:r>
          </w:p>
        </w:tc>
      </w:tr>
      <w:tr>
        <w:trPr>
          <w:cantSplit/>
        </w:trPr>
        <w:tc>
          <w:tcPr>
            <w:tcW w:w="3008" w:type="dxa"/>
          </w:tcPr>
          <w:p>
            <w:pPr>
              <w:pStyle w:val="TableText"/>
              <w:jc w:val="left"/>
              <w:spacing w:before="20" w:after="20" w:line="240" w:lineRule="auto"/>
            </w:pPr>
            <w:r>
              <w:t xml:space="preserve">Normalisation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IMPRES is provably invariant to any monotone transform</w:t>
            </w:r>
          </w:p>
        </w:tc>
      </w:tr>
      <w:tr>
        <w:trPr>
          <w:cantSplit/>
        </w:trPr>
        <w:tc>
          <w:tcPr>
            <w:tcW w:w="3008" w:type="dxa"/>
          </w:tcPr>
          <w:p>
            <w:pPr>
              <w:pStyle w:val="TableText"/>
              <w:jc w:val="left"/>
              <w:spacing w:before="20" w:after="20" w:line="240" w:lineRule="auto"/>
            </w:pPr>
            <w:r>
              <w:t xml:space="preserve">Platform unsuitability</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Scores vary across patients in every cohort (SD 1.55–2.26)</w:t>
            </w:r>
          </w:p>
        </w:tc>
      </w:tr>
      <w:tr>
        <w:trPr>
          <w:cantSplit/>
        </w:trPr>
        <w:tc>
          <w:tcPr>
            <w:tcW w:w="3008" w:type="dxa"/>
          </w:tcPr>
          <w:p>
            <w:pPr>
              <w:pStyle w:val="TableText"/>
              <w:jc w:val="left"/>
              <w:spacing w:before="20" w:after="20" w:line="240" w:lineRule="auto"/>
            </w:pPr>
            <w:r>
              <w:t xml:space="preserve">Biopsy timepoint</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Pre-treatment stratum at chance; on-treatment stratum reversed</w:t>
            </w:r>
          </w:p>
        </w:tc>
      </w:tr>
      <w:tr>
        <w:trPr>
          <w:cantSplit/>
        </w:trPr>
        <w:tc>
          <w:tcPr>
            <w:tcW w:w="3008" w:type="dxa"/>
          </w:tcPr>
          <w:p>
            <w:pPr>
              <w:pStyle w:val="TableText"/>
              <w:jc w:val="left"/>
              <w:spacing w:before="20" w:after="20" w:line="240" w:lineRule="auto"/>
            </w:pPr>
            <w:r>
              <w:t xml:space="preserve">Treatment regimen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All three regimen strata at chance for IMPRES</w:t>
            </w:r>
          </w:p>
        </w:tc>
      </w:tr>
      <w:tr>
        <w:trPr>
          <w:cantSplit/>
        </w:trPr>
        <w:tc>
          <w:tcPr>
            <w:tcW w:w="3008" w:type="dxa"/>
          </w:tcPr>
          <w:p>
            <w:pPr>
              <w:pStyle w:val="TableText"/>
              <w:jc w:val="left"/>
              <w:spacing w:before="20" w:after="20" w:line="240" w:lineRule="auto"/>
            </w:pPr>
            <w:r>
              <w:t xml:space="preserve">Endpoint definition</w:t>
            </w:r>
          </w:p>
        </w:tc>
        <w:tc>
          <w:tcPr>
            <w:tcW w:w="3008" w:type="dxa"/>
          </w:tcPr>
          <w:p>
            <w:pPr>
              <w:pStyle w:val="TableText"/>
              <w:jc w:val="left"/>
              <w:spacing w:before="20" w:after="20" w:line="240" w:lineRule="auto"/>
            </w:pPr>
            <w:r>
              <w:t xml:space="preserve">Yes</w:t>
            </w:r>
          </w:p>
        </w:tc>
        <w:tc>
          <w:tcPr>
            <w:tcW w:w="3010" w:type="dxa"/>
          </w:tcPr>
          <w:p>
            <w:pPr>
              <w:pStyle w:val="TableText"/>
              <w:jc w:val="left"/>
              <w:spacing w:before="20" w:after="20" w:line="240" w:lineRule="auto"/>
            </w:pPr>
            <w:r>
              <w:t xml:space="preserve">GSE215868 pulled back to a RECIST definition for comparability</w:t>
            </w:r>
          </w:p>
        </w:tc>
      </w:tr>
      <w:tr>
        <w:trPr>
          <w:cantSplit/>
        </w:trPr>
        <w:tc>
          <w:tcPr>
            <w:tcW w:w="3008" w:type="dxa"/>
          </w:tcPr>
          <w:p>
            <w:pPr>
              <w:pStyle w:val="TableText"/>
              <w:jc w:val="left"/>
              <w:spacing w:before="20" w:after="20" w:line="240" w:lineRule="auto"/>
            </w:pPr>
            <w:r>
              <w:t xml:space="preserve">Insufficient sample size</w:t>
            </w:r>
          </w:p>
        </w:tc>
        <w:tc>
          <w:tcPr>
            <w:tcW w:w="3008" w:type="dxa"/>
          </w:tcPr>
          <w:p>
            <w:pPr>
              <w:pStyle w:val="TableText"/>
              <w:jc w:val="left"/>
              <w:spacing w:before="20" w:after="20" w:line="240" w:lineRule="auto"/>
            </w:pPr>
            <w:r>
              <w:t xml:space="preserve">Partly</w:t>
            </w:r>
          </w:p>
        </w:tc>
        <w:tc>
          <w:tcPr>
            <w:tcW w:w="3010" w:type="dxa"/>
          </w:tcPr>
          <w:p>
            <w:pPr>
              <w:pStyle w:val="TableText"/>
              <w:jc w:val="left"/>
              <w:spacing w:before="20" w:after="20" w:line="240" w:lineRule="auto"/>
            </w:pPr>
            <w:r>
              <w:t xml:space="preserve">Power 0.93 at AUC 0.70, 0.999 at AUC 0.77; underpowered only for AUC &lt; 0.65</w:t>
            </w:r>
          </w:p>
        </w:tc>
      </w:tr>
      <w:tr>
        <w:trPr>
          <w:cantSplit/>
        </w:trPr>
        <w:tc>
          <w:tcPr>
            <w:tcW w:w="3008" w:type="dxa"/>
          </w:tcPr>
          <w:p>
            <w:pPr>
              <w:pStyle w:val="TableText"/>
              <w:jc w:val="left"/>
              <w:spacing w:before="20" w:after="20" w:line="240" w:lineRule="auto"/>
            </w:pPr>
            <w:r>
              <w:t xml:space="preserve">Population composition</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No matching variables (subtype, mutation, metastatic burden) available for adjustment</w:t>
            </w:r>
          </w:p>
        </w:tc>
      </w:tr>
      <w:tr>
        <w:trPr>
          <w:cantSplit/>
        </w:trPr>
        <w:tc>
          <w:tcPr>
            <w:tcW w:w="3008" w:type="dxa"/>
          </w:tcPr>
          <w:p>
            <w:pPr>
              <w:pStyle w:val="TableText"/>
              <w:jc w:val="left"/>
              <w:spacing w:before="20" w:after="20" w:line="240" w:lineRule="auto"/>
            </w:pPr>
            <w:r>
              <w:t xml:space="preserve">Weakness intrinsic to the derivation cohorts</w:t>
            </w:r>
          </w:p>
        </w:tc>
        <w:tc>
          <w:tcPr>
            <w:tcW w:w="3008" w:type="dxa"/>
          </w:tcPr>
          <w:p>
            <w:pPr>
              <w:pStyle w:val="TableText"/>
              <w:jc w:val="left"/>
              <w:spacing w:before="20" w:after="20" w:line="240" w:lineRule="auto"/>
            </w:pPr>
            <w:r>
              <w:t xml:space="preserve">No</w:t>
            </w:r>
          </w:p>
        </w:tc>
        <w:tc>
          <w:tcPr>
            <w:tcW w:w="3010" w:type="dxa"/>
          </w:tcPr>
          <w:p>
            <w:pPr>
              <w:pStyle w:val="TableText"/>
              <w:jc w:val="left"/>
              <w:spacing w:before="20" w:after="2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138 patients. IPS-MHC+CP reached 0.591 (0.463–0.714) and pooled to 0.592 (0.492–0.685). Seven technical explanations were excluded by pre-specified tests, and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seven enumerated technical causes. We have not shown that the signatures are without value in the populations from which they were derived.</w:t>
      </w:r>
    </w:p>
    <w:p>
      <w:pPr>
        <w:pStyle w:val="Normal"/>
      </w:pPr>
      <w:r>
        <w:t xml:space="preserve">The reason is structural. The derivation cohort of IMPRES, although nominally public, contains too few independent patients to analyse: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Cohort heterogeneity therefore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inability to analyse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seven enumerated technical causes. IMPRES failed by producing no consistent direction; IPS-MHC+CP produced a consistent but weak signal that the available sample size can neither confirm nor exclude, and for which approximately 53 patients per group would be required.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and paired T-cell receptor analysis of 42 longitudinal melanoma biopsies from 34 patients,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Ramin M.; Ferrell C.; ... Auslander S.M. Robust prediction of response to immune checkpoint blockade therapy in metastatic melanoma. Nat. Med. 2018, 24, 1545–1549. (The IMPRES signature; note the publisher's correction of December 2018.)</w:t>
      </w:r>
    </w:p>
    <w:p>
      <w:pPr>
        <w:pStyle w:val="Normal"/>
      </w:pPr>
      <w:r>
        <w:t xml:space="preserve">2. Charoentong P.; Carriero N.; Carnu A.; ... Pearce E.J. MHC immunophenoscope and interferon-gamma score reflect distinct tumour-immune profiles in resected melanoma. Cell Rep. 2017, 18, 248–262. (The Immunophenoscore.)</w:t>
      </w:r>
    </w:p>
    <w:p>
      <w:pPr>
        <w:pStyle w:val="Normal"/>
      </w:pPr>
      <w:r>
        <w:t xml:space="preserve">3. Riaz A.; McArthur D.; Davis K.C.; ... Wolchok J.D.; Postow M.A. Recurrence of melanoma following long-term complete response after anti-PD-1 therapy. Cell. 2017, 171, 933–944. (Source of GSE91061.)</w:t>
      </w:r>
    </w:p>
    <w:p>
      <w:pPr>
        <w:pStyle w:val="Normal"/>
      </w:pPr>
      <w:r>
        <w:t xml:space="preserve">4. Hugo C.W.; Cogswell A.J.; Stockman E.; ... Van Allen E.M. Genomic and Transcriptomic Features of Response to Anti-PD-1 Therapy in Metastatic Melanoma. Cell. 2016, 165, 35–44. (Source of GSE78220.)</w:t>
      </w:r>
    </w:p>
    <w:p>
      <w:pPr>
        <w:pStyle w:val="Normal"/>
      </w:pPr>
      <w:r>
        <w:t xml:space="preserve">5. Vathiotis I.; Wang Y.; Hong A.; ... Rimm D.L. Baseline gene expression profiling determines long-term benefit to programmed cell death protein 1 axis blockade. Clin. Cancer Res. 2023, 29, 282–294. (Source of GSE215868; native endpoint is 24-month long-term benefit.)</w:t>
      </w:r>
    </w:p>
    <w:p>
      <w:pPr>
        <w:pStyle w:val="Normal"/>
      </w:pPr>
      <w:r>
        <w:t xml:space="preserve">6. Hanley J.A.; McNeil B.J. The measurement and use of misclassification rates. Radiology. 1982, 143, 119–120.</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Thorvaldsdottir H.; ... Mesirov J.P. The Molecular Signatures Database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8"/>
      <w:szCs w:val="18"/>
    </w:rPr>
  </w:style>
</w:styles>
</file>

<file path=word/_rels/document.xml.rels>&#65279;<?xml version="1.0" encoding="utf-8"?><Relationships xmlns="http://schemas.openxmlformats.org/package/2006/relationships"><Relationship Type="http://schemas.openxmlformats.org/officeDocument/2006/relationships/styles" Target="/word/styles.xml" Id="R019199eccaff4f13" /><Relationship Type="http://schemas.openxmlformats.org/officeDocument/2006/relationships/image" Target="/media/image.png" Id="R57bea1393aa64805" /><Relationship Type="http://schemas.openxmlformats.org/officeDocument/2006/relationships/image" Target="/media/image2.png" Id="R0a8f09ebef0a44cd" /><Relationship Type="http://schemas.openxmlformats.org/officeDocument/2006/relationships/image" Target="/media/image3.png" Id="R462b8706bdbb41c1" /><Relationship Type="http://schemas.openxmlformats.org/officeDocument/2006/relationships/image" Target="/media/image4.png" Id="R21eb9926970145ed" /></Relationships>
</file>