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7c53f1ce90845ee"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e4dbb86b46484463"/>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published per-cohort estimates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c5c4fbe0b2da4943"/>
                    <a:stretch>
                      <a:fillRect/>
                    </a:stretch>
                  </pic:blipFill>
                  <pic:spPr>
                    <a:xfrm>
                      <a:off x="0" y="0"/>
                      <a:ext cx="5857200" cy="3631464"/>
                    </a:xfrm>
                    <a:prstGeom prst="rect">
                      <a:avLst/>
                    </a:prstGeom>
                  </pic:spPr>
                </pic:pic>
              </a:graphicData>
            </a:graphic>
          </wp:inline>
        </w:drawing>
      </w:r>
    </w:p>
    <w:p>
      <w:pPr>
        <w:pStyle w:val="Caption"/>
        <w:jc w:val="left"/>
      </w:pPr>
      <w:r>
        <w:t>Figure 4.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2d1ae8461c8c40ed"/>
                    <a:stretch>
                      <a:fillRect/>
                    </a:stretch>
                  </pic:blipFill>
                  <pic:spPr>
                    <a:xfrm>
                      <a:off x="0" y="0"/>
                      <a:ext cx="5515200" cy="3419424"/>
                    </a:xfrm>
                    <a:prstGeom prst="rect">
                      <a:avLst/>
                    </a:prstGeom>
                  </pic:spPr>
                </pic:pic>
              </a:graphicData>
            </a:graphic>
          </wp:inline>
        </w:drawing>
      </w:r>
    </w:p>
    <w:p>
      <w:pPr>
        <w:pStyle w:val="Caption"/>
        <w:jc w:val="left"/>
      </w:pPr>
      <w:r>
        <w:t>Figure 2. Discrimination of both signatures across the three validation cohorts, in the pre-registered direction, with 95% bootstrap confidence intervals. (a) and (b) show each cohort in the pre-registered direction, with the dashed line at chance and the shaded band covering the AUC range reported for the signature in its own publication. Neither signature reaches that band.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4138575aafc24e26"/>
                    <a:stretch>
                      <a:fillRect/>
                    </a:stretch>
                  </pic:blipFill>
                  <pic:spPr>
                    <a:xfrm>
                      <a:off x="0" y="0"/>
                      <a:ext cx="6163200" cy="3821184"/>
                    </a:xfrm>
                    <a:prstGeom prst="rect">
                      <a:avLst/>
                    </a:prstGeom>
                  </pic:spPr>
                </pic:pic>
              </a:graphicData>
            </a:graphic>
          </wp:inline>
        </w:drawing>
      </w:r>
    </w:p>
    <w:p>
      <w:pPr>
        <w:pStyle w:val="Caption"/>
        <w:jc w:val="left"/>
      </w:pPr>
      <w:r>
        <w:t>Figure 3.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Normalisation-invariance check: 4 normalisations × 2 directions, 8/8 identical scores</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Scores vary across patients in every cohort (SD 1.55–2.26)</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GSE215868 pulled back to a RECIST definition for comparability</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and power at 0.60 is 0.347</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Zhang G.; Lee J.S.; Frederick D.T.; Miao B.; Moll T.; Tian T.; Wei Z.; Madan S.; Sullivan R.J.; Boland G.; Flaherty K.; Herlyn M.; Ruppin E. Robust prediction of response to immune checkpoint blockade therapy in metastatic melanoma. Nat. Med. 2018, 24, 1545–1549. (The IMPRES signature; note the publisher's correction of December 2018.)</w:t>
      </w:r>
    </w:p>
    <w:p>
      <w:pPr>
        <w:pStyle w:val="Normal"/>
      </w:pPr>
      <w:r>
        <w:t xml:space="preserve">2. Charoentong P.; Finotello F.; Angelova M.; Mayer C.; Efremova M.; Rieder D.; Hackl H.; Trajanoski Z. Pan-cancer immunogenomic analyses reveal genotype–immunophenotype relationships and predictors of response to checkpoint blockade. Cell Rep. 2017, 18, 248–262. (The Immunophenoscore.)</w:t>
      </w:r>
    </w:p>
    <w:p>
      <w:pPr>
        <w:pStyle w:val="Normal"/>
      </w:pPr>
      <w:r>
        <w:t xml:space="preserve">3. Riaz N.; Havel J.J.; Makarov V.; Desrichard A.; Urba W.J.; Sims J.S.; Hodi F.S.; Martín-Algarra S.; Mandal R.; Sharfman W.H.; Bhatia S.; Hwu W.J.; Gajewski T.F.; Slingluff C.L.; Chowell D.; Kendall S.M.; Chang H.; Shah R.; Kuo F.; Morris L.G.T.; Sidhom J.W.; Schneck J.P.; Horak C.E.; Weinhold N.; Chan T.A. Tumor and microenvironment evolution during immunotherapy with nivolumab. Cell 2017, 171, 934–949.e16. (Source of GSE91061.)</w:t>
      </w:r>
    </w:p>
    <w:p>
      <w:pPr>
        <w:pStyle w:val="Normal"/>
      </w:pPr>
      <w:r>
        <w:t xml:space="preserve">4. Hugo W.; Zaretsky J.M.; Sun L.; Song C.; Moreno B.H.; Hu-Lieskovan S.; Berent-Maoz B.; Pang J.; Chmielowski B.; Cherry G.; Seja E.; Lomeli S.; Kong X.; Kelley M.C.; Sosman J.A.; Johnson D.B.; Ribas A.; Lo R.S. Genomic and transcriptomic features of response to anti-PD-1 therapy in metastatic melanoma. Cell 2016, 165, 35–44. (Source of GSE78220.)</w:t>
      </w:r>
    </w:p>
    <w:p>
      <w:pPr>
        <w:pStyle w:val="Normal"/>
      </w:pPr>
      <w:r>
        <w:t xml:space="preserve">5. Vathiotis I.A.; Salichos L.; Martinez-Morilla S.; Gavrielatou N.; Aung T.N.; Shafi S.; Wong P.F.; Jessel S.; Kluger H.M.; Syrigos K.N.; Warren S.; Gerstein M.; Rimm D.L. Baseline gene expression profiling determines long-term benefit to programmed cell death protein 1 axis blockade. NPJ Precis. Oncol. 2022, 6, 92. (Source of GSE215868; native endpoint is 24-month long-term benefit.)</w:t>
      </w:r>
    </w:p>
    <w:p>
      <w:pPr>
        <w:pStyle w:val="Normal"/>
      </w:pPr>
      <w:r>
        <w:t xml:space="preserve">6. Hanley J.A.; McNeil B.J. The meaning and use of the area under a receiver operating characteristic (ROC) curve. Radiology 1982, 143, 29–36.</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Thorvaldsdóttir H.; Ghandi M.; Mesirov J.P.; Tamayo P. The Molecular Signatures Database (MSigDB)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e457adde070d457a" /><Relationship Type="http://schemas.openxmlformats.org/officeDocument/2006/relationships/image" Target="/media/image.png" Id="Re4dbb86b46484463" /><Relationship Type="http://schemas.openxmlformats.org/officeDocument/2006/relationships/image" Target="/media/image2.png" Id="Rc5c4fbe0b2da4943" /><Relationship Type="http://schemas.openxmlformats.org/officeDocument/2006/relationships/image" Target="/media/image3.png" Id="R2d1ae8461c8c40ed" /><Relationship Type="http://schemas.openxmlformats.org/officeDocument/2006/relationships/image" Target="/media/image4.png" Id="R4138575aafc24e26" /></Relationships>
</file>