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32860ca38240450d"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locking the primary comparison, its endpoints and the criteria for attributing a negative result in writing before any computation. Two signatures were tested: IMPRES, a pairwise ordering of 15 immune-checkpoint genes [1], and a reduced Immunophenoscore (IPS-MHC+CP) built from 20 MHC and checkpoint genes [2], chosen for a construction unrelated to IMPRES. In the largest independent cohort (79 evaluable patients, 45 responders / 34 non-responders), IMPRES reached an AUC of 0.505 (95% CI 0.380–0.631) in the pre-registered direction and IPS-MHC+CP 0.591 (0.463–0.714); neither reproduced its published performance, and a cross-cohort meta-analysis of study-level estimates did not change the verdict. They failed differently: IMPRES was directionally erratic, IPS-MHC+CP weak but consistently signed. Of seven prospectively specified technical explanations, six were excluded outright and sample size, the seventh, against the published performance but not a weak signal (power 0.93 at an AUC of 0.70). Two explanations remain untestable with public data: population composition, and weakness intrinsic to the derivation cohorts. These signatures should therefore not be assumed to transfer across melanoma ICB cohorts.</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[1], and the Immunophenoscore (IPS), which aggregates weighted z-scores across 26 immune-related gene sets [2].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[3] (RNA-seq; 109 samples, 65 patients) is a nivolumab monotherapy cohort with both pre-treatment and on-treatment biopsies; the pre-treatment subset of 33 patients (10 partial or complete responders, 23 progressors) forms the development set. GSE78220 [4] (bulk RNA-seq; 28 samples, 26 patients; 14 responders, 12 progressors) is an anti-PD-1 monotherapy cohort of pre-treatment biopsies. GSE215868 [5] (NanoString IO 360 panel, 770 genes; 105 samples, 105 patients) is a pre-treatment cohort treated with PD-1 axis blockade; 79 patients had a classifiable response (45 responders, 34 progressors). Five further series were used, none of them for the primary comparison. GSE244982 [6] supplies post-progression biopsies for the resistance-state analysis in Section 3.7 and carries no response labels, so it can only be asked whether a model scores progressed tumours as expected, never whether it discriminates responders. GSE294272 and GSE294273 [7] supply the cell-type reference profile for deconvolution and its independent validation. GSE308433, GSE308434 and GSE308435 [8] supply the single-cell and T-cell receptor material reported in Supplementary Material S1. GSE115821, the IMPRES derivation cohort, is named here for completeness and is discussed in Section 4.2; it was never analysed and contributes no data to any result in this paper.</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The direction convention is itself unresolved, and this is a separate risk from the gene list. The two MATLAB files in the authors' repository that define the score specify the pairwise ratio in opposite orientations for the two feature blocks, so the repository is internally inconsistent; and the publication states only that the feature is 1 when the first gene is expressed below the second, without giving the written orientation of any of the 15 pairs in the supplementary table that could not be retrieved. The only material that could settle the convention is therefore unavailable. We pre-registered one orientation, report the mirrored orientation in parallel at every comparison, and neither reproduced the published performance, so these data cannot resolve the ambiguity in favour of either orientation; but the ambiguity remains unexcluded, and the normalisation-invariance check described next does not test it.</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[9]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differ by up to 0.05 for the pre-registered panel and 0.07 for the set actually used,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The items are numbered in the order registered here, and Table 6 and Figure 4 follow the same numbering. Sections 2.3, 2.4, 2.9, 3.6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[10].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per-cohort AUC estimates computed in this study together with their cohort sample sizes, and no patient-level record is touched or created. Pooling was performed on the logit scale, with a fixed-effect estimate and a DerSimonian–Laird random-effects estimate [11];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for every signature and cohort and all are reported, and no direction was selected after the fact. We do not apply a hierarchy of tests [12]: the mirrored direction is reported not as a second look at a negative result, but because the pre-registered direction convention of IMPRES is itself unresolved (Section 2.4), so both conventions had to be shown. Confidence intervals are reported to three decimal places throughout. No multiplicity adjustment was applied, and none is claimed: the only pre-specified inferential tests are the primary comparison and its mirrored counterpart in each of the three cohorts, and every secondary, pooled and stratified analysis is reported as description without an inferential claim attached to it. No comparison in this paper is used to support a positive conclusion. Power was computed with the Hanley–McNeil standard error evaluated at the hypothesised true AUC, and, where sample size is discussed, by solving that expression for n; both are stated in the script that produces Table 4.</w:t>
      </w:r>
    </w:p>
    <w:p>
      <w:pPr>
        <w:pStyle w:val="Heading2"/>
      </w:pPr>
      <w:r>
        <w:t>2.11. Supplementary Material</w:t>
      </w:r>
    </w:p>
    <w:p>
      <w:pPr>
        <w:pStyle w:val="Normal"/>
      </w:pPr>
      <w:r>
        <w:t xml:space="preserve">Two further melanoma series were analysed as part of the study, on a question separate from the one tested here; both are reported in the Supplementary Material rather than in the main text. A single-cell analysis covers 12 patients (one sample each), and a T-cell receptor analysis covers 42 libraries drawn from 34 patients. Of those 34 patients only 7 contributed more than one biopsy, so the receptor data support a cross-sectional comparison with a small paired subset, not a 42-patient longitudinal series, and no within-patient trajectory analysis is reported. In the single-cell component,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 Figure 1 summarises the cohort roles, the patient-level assembly and the duplication hazards that produced these numbers.</w:t>
      </w:r>
    </w:p>
    <w:p>
      <w:pPr>
        <w:pStyle w:val="Normal"/>
        <w:jc w:val="center"/>
        <w:keepNext/>
        <w:spacing w:before="120" w:after="60" w:line="240" w:lineRule="auto"/>
      </w:pPr>
      <w:r>
        <w:drawing>
          <wp:inline xmlns:wp="http://schemas.openxmlformats.org/drawingml/2006/wordprocessingDrawing" distT="0" distB="0" distL="0" distR="0">
            <wp:extent cx="5896800" cy="3656016"/>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89f94e820e6242dc"/>
                    <a:stretch>
                      <a:fillRect/>
                    </a:stretch>
                  </pic:blipFill>
                  <pic:spPr>
                    <a:xfrm>
                      <a:off x="0" y="0"/>
                      <a:ext cx="5896800" cy="3656016"/>
                    </a:xfrm>
                    <a:prstGeom prst="rect">
                      <a:avLst/>
                    </a:prstGeom>
                  </pic:spPr>
                </pic:pic>
              </a:graphicData>
            </a:graphic>
          </wp:inline>
        </w:drawing>
      </w:r>
    </w:p>
    <w:p>
      <w:pPr>
        <w:pStyle w:val="Caption"/>
        <w:jc w:val="left"/>
      </w:pPr>
      <w:r>
        <w:t>Figure 1. Study design. (a) cohorts and their roles; (b) the patient-level assembly that produces every n used in this paper; (c) the specific duplication hazards that were checked and how each was handled; (d) what may and may not cross cohort boundaries, and why pooling patients or expression matrices is forbidden while study-level meta-analysis of the per-cohort estimates computed here is not.</w:t>
      </w:r>
    </w:p>
    <w:p>
      <w:pPr>
        <w:pStyle w:val="Caption"/>
        <w:keepNext/>
        <w:jc w:val="left"/>
      </w:pPr>
      <w:r>
        <w:rPr>
          <w:b/>
        </w:rPr>
        <w:t>Table 1. Characteristics of the three primary cohorts.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tcBorders>
              <w:bottom w:val="single" w:sz="8" w:space="0"/>
            </w:tcBorders>
          </w:tcPr>
          <w:p>
            <w:pPr>
              <w:pStyle w:val="TableText"/>
              <w:jc w:val="left"/>
              <w:spacing w:before="40" w:after="40" w:line="240" w:lineRule="auto"/>
            </w:pPr>
            <w:r>
              <w:rPr>
                <w:b/>
              </w:rPr>
              <w:t xml:space="preserve"/>
            </w:r>
          </w:p>
        </w:tc>
        <w:tc>
          <w:tcPr>
            <w:tcW w:w="2256" w:type="dxa"/>
            <w:tcBorders>
              <w:bottom w:val="single" w:sz="8" w:space="0"/>
            </w:tcBorders>
          </w:tcPr>
          <w:p>
            <w:pPr>
              <w:pStyle w:val="TableText"/>
              <w:jc w:val="left"/>
              <w:spacing w:before="40" w:after="40" w:line="240" w:lineRule="auto"/>
            </w:pPr>
            <w:r>
              <w:rPr>
                <w:b/>
              </w:rPr>
              <w:t xml:space="preserve">GSE91061</w:t>
            </w:r>
          </w:p>
        </w:tc>
        <w:tc>
          <w:tcPr>
            <w:tcW w:w="2256" w:type="dxa"/>
            <w:tcBorders>
              <w:bottom w:val="single" w:sz="8" w:space="0"/>
            </w:tcBorders>
          </w:tcPr>
          <w:p>
            <w:pPr>
              <w:pStyle w:val="TableText"/>
              <w:jc w:val="left"/>
              <w:spacing w:before="40" w:after="40" w:line="240" w:lineRule="auto"/>
            </w:pPr>
            <w:r>
              <w:rPr>
                <w:b/>
              </w:rPr>
              <w:t xml:space="preserve">GSE78220</w:t>
            </w:r>
          </w:p>
        </w:tc>
        <w:tc>
          <w:tcPr>
            <w:tcW w:w="2258" w:type="dxa"/>
            <w:tcBorders>
              <w:bottom w:val="single" w:sz="8" w:space="0"/>
            </w:tcBorders>
          </w:tcPr>
          <w:p>
            <w:pPr>
              <w:pStyle w:val="TableText"/>
              <w:jc w:val="left"/>
              <w:spacing w:before="40" w:after="40" w:line="240" w:lineRule="auto"/>
            </w:pPr>
            <w:r>
              <w:rPr>
                <w:b/>
              </w:rPr>
              <w:t xml:space="preserve">GSE215868</w:t>
            </w:r>
          </w:p>
        </w:tc>
      </w:tr>
      <w:tr>
        <w:trPr>
          <w:cantSplit/>
        </w:trPr>
        <w:tc>
          <w:tcPr>
            <w:tcW w:w="2256" w:type="dxa"/>
          </w:tcPr>
          <w:p>
            <w:pPr>
              <w:pStyle w:val="TableText"/>
              <w:jc w:val="left"/>
              <w:spacing w:before="40" w:after="40" w:line="240" w:lineRule="auto"/>
            </w:pPr>
            <w:r>
              <w:t xml:space="preserve">Platform</w:t>
            </w:r>
          </w:p>
        </w:tc>
        <w:tc>
          <w:tcPr>
            <w:tcW w:w="2256" w:type="dxa"/>
          </w:tcPr>
          <w:p>
            <w:pPr>
              <w:pStyle w:val="TableText"/>
              <w:jc w:val="left"/>
              <w:spacing w:before="40" w:after="40" w:line="240" w:lineRule="auto"/>
            </w:pPr>
            <w:r>
              <w:t xml:space="preserve">RNA-seq</w:t>
            </w:r>
          </w:p>
        </w:tc>
        <w:tc>
          <w:tcPr>
            <w:tcW w:w="2256" w:type="dxa"/>
          </w:tcPr>
          <w:p>
            <w:pPr>
              <w:pStyle w:val="TableText"/>
              <w:jc w:val="left"/>
              <w:spacing w:before="40" w:after="40" w:line="240" w:lineRule="auto"/>
            </w:pPr>
            <w:r>
              <w:t xml:space="preserve">bulk RNA-seq</w:t>
            </w:r>
          </w:p>
        </w:tc>
        <w:tc>
          <w:tcPr>
            <w:tcW w:w="2258" w:type="dxa"/>
          </w:tcPr>
          <w:p>
            <w:pPr>
              <w:pStyle w:val="TableText"/>
              <w:jc w:val="left"/>
              <w:spacing w:before="40" w:after="40" w:line="240" w:lineRule="auto"/>
            </w:pPr>
            <w:r>
              <w:t xml:space="preserve">NanoString IO 360 (770 genes)</w:t>
            </w:r>
          </w:p>
        </w:tc>
      </w:tr>
      <w:tr>
        <w:trPr>
          <w:cantSplit/>
        </w:trPr>
        <w:tc>
          <w:tcPr>
            <w:tcW w:w="2256" w:type="dxa"/>
          </w:tcPr>
          <w:p>
            <w:pPr>
              <w:pStyle w:val="TableText"/>
              <w:jc w:val="left"/>
              <w:spacing w:before="40" w:after="40" w:line="240" w:lineRule="auto"/>
            </w:pPr>
            <w:r>
              <w:t xml:space="preserve">Samples (GEO)</w:t>
            </w:r>
          </w:p>
        </w:tc>
        <w:tc>
          <w:tcPr>
            <w:tcW w:w="2256" w:type="dxa"/>
          </w:tcPr>
          <w:p>
            <w:pPr>
              <w:pStyle w:val="TableText"/>
              <w:jc w:val="left"/>
              <w:spacing w:before="40" w:after="40" w:line="240" w:lineRule="auto"/>
            </w:pPr>
            <w:r>
              <w:t xml:space="preserve">109</w:t>
            </w:r>
          </w:p>
        </w:tc>
        <w:tc>
          <w:tcPr>
            <w:tcW w:w="2256" w:type="dxa"/>
          </w:tcPr>
          <w:p>
            <w:pPr>
              <w:pStyle w:val="TableText"/>
              <w:jc w:val="left"/>
              <w:spacing w:before="40" w:after="40" w:line="240" w:lineRule="auto"/>
            </w:pPr>
            <w:r>
              <w:t xml:space="preserve">28</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Patients</w:t>
            </w:r>
          </w:p>
        </w:tc>
        <w:tc>
          <w:tcPr>
            <w:tcW w:w="2256" w:type="dxa"/>
          </w:tcPr>
          <w:p>
            <w:pPr>
              <w:pStyle w:val="TableText"/>
              <w:jc w:val="left"/>
              <w:spacing w:before="40" w:after="40" w:line="240" w:lineRule="auto"/>
            </w:pPr>
            <w:r>
              <w:t xml:space="preserve">65</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Evaluable patients</w:t>
            </w:r>
          </w:p>
        </w:tc>
        <w:tc>
          <w:tcPr>
            <w:tcW w:w="2256" w:type="dxa"/>
          </w:tcPr>
          <w:p>
            <w:pPr>
              <w:pStyle w:val="TableText"/>
              <w:jc w:val="left"/>
              <w:spacing w:before="40" w:after="40" w:line="240" w:lineRule="auto"/>
            </w:pPr>
            <w:r>
              <w:t xml:space="preserve">33</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79</w:t>
            </w:r>
          </w:p>
        </w:tc>
      </w:tr>
      <w:tr>
        <w:trPr>
          <w:cantSplit/>
        </w:trPr>
        <w:tc>
          <w:tcPr>
            <w:tcW w:w="2256" w:type="dxa"/>
          </w:tcPr>
          <w:p>
            <w:pPr>
              <w:pStyle w:val="TableText"/>
              <w:jc w:val="left"/>
              <w:spacing w:before="40" w:after="40" w:line="240" w:lineRule="auto"/>
            </w:pPr>
            <w:r>
              <w:t xml:space="preserve">Responders / non-responders</w:t>
            </w:r>
          </w:p>
        </w:tc>
        <w:tc>
          <w:tcPr>
            <w:tcW w:w="2256" w:type="dxa"/>
          </w:tcPr>
          <w:p>
            <w:pPr>
              <w:pStyle w:val="TableText"/>
              <w:jc w:val="left"/>
              <w:spacing w:before="40" w:after="40" w:line="240" w:lineRule="auto"/>
            </w:pPr>
            <w:r>
              <w:t xml:space="preserve">10 / 23</w:t>
            </w:r>
          </w:p>
        </w:tc>
        <w:tc>
          <w:tcPr>
            <w:tcW w:w="2256" w:type="dxa"/>
          </w:tcPr>
          <w:p>
            <w:pPr>
              <w:pStyle w:val="TableText"/>
              <w:jc w:val="left"/>
              <w:spacing w:before="40" w:after="40" w:line="240" w:lineRule="auto"/>
            </w:pPr>
            <w:r>
              <w:t xml:space="preserve">14 / 12</w:t>
            </w:r>
          </w:p>
        </w:tc>
        <w:tc>
          <w:tcPr>
            <w:tcW w:w="2258" w:type="dxa"/>
          </w:tcPr>
          <w:p>
            <w:pPr>
              <w:pStyle w:val="TableText"/>
              <w:jc w:val="left"/>
              <w:spacing w:before="40" w:after="40" w:line="240" w:lineRule="auto"/>
            </w:pPr>
            <w:r>
              <w:t xml:space="preserve">45 / 34</w:t>
            </w:r>
          </w:p>
        </w:tc>
      </w:tr>
      <w:tr>
        <w:trPr>
          <w:cantSplit/>
        </w:trPr>
        <w:tc>
          <w:tcPr>
            <w:tcW w:w="2256" w:type="dxa"/>
          </w:tcPr>
          <w:p>
            <w:pPr>
              <w:pStyle w:val="TableText"/>
              <w:jc w:val="left"/>
              <w:spacing w:before="40" w:after="40" w:line="240" w:lineRule="auto"/>
            </w:pPr>
            <w:r>
              <w:t xml:space="preserve">Biopsy timepoint used</w:t>
            </w:r>
          </w:p>
        </w:tc>
        <w:tc>
          <w:tcPr>
            <w:tcW w:w="2256" w:type="dxa"/>
          </w:tcPr>
          <w:p>
            <w:pPr>
              <w:pStyle w:val="TableText"/>
              <w:jc w:val="left"/>
              <w:spacing w:before="40" w:after="40" w:line="240" w:lineRule="auto"/>
            </w:pPr>
            <w:r>
              <w:t xml:space="preserve">pre-treatment</w:t>
            </w:r>
          </w:p>
        </w:tc>
        <w:tc>
          <w:tcPr>
            <w:tcW w:w="2256" w:type="dxa"/>
          </w:tcPr>
          <w:p>
            <w:pPr>
              <w:pStyle w:val="TableText"/>
              <w:jc w:val="left"/>
              <w:spacing w:before="40" w:after="40" w:line="240" w:lineRule="auto"/>
            </w:pPr>
            <w:r>
              <w:t xml:space="preserve">pre-treatment (26 of 27)</w:t>
            </w:r>
          </w:p>
        </w:tc>
        <w:tc>
          <w:tcPr>
            <w:tcW w:w="2258" w:type="dxa"/>
          </w:tcPr>
          <w:p>
            <w:pPr>
              <w:pStyle w:val="TableText"/>
              <w:jc w:val="left"/>
              <w:spacing w:before="40" w:after="40" w:line="240" w:lineRule="auto"/>
            </w:pPr>
            <w:r>
              <w:t xml:space="preserve">pre-treatment (all)</w:t>
            </w:r>
          </w:p>
        </w:tc>
      </w:tr>
      <w:tr>
        <w:trPr>
          <w:cantSplit/>
        </w:trPr>
        <w:tc>
          <w:tcPr>
            <w:tcW w:w="2256" w:type="dxa"/>
          </w:tcPr>
          <w:p>
            <w:pPr>
              <w:pStyle w:val="TableText"/>
              <w:jc w:val="left"/>
              <w:spacing w:before="40" w:after="40" w:line="240" w:lineRule="auto"/>
            </w:pPr>
            <w:r>
              <w:t xml:space="preserve">Regimen</w:t>
            </w:r>
          </w:p>
        </w:tc>
        <w:tc>
          <w:tcPr>
            <w:tcW w:w="2256" w:type="dxa"/>
          </w:tcPr>
          <w:p>
            <w:pPr>
              <w:pStyle w:val="TableText"/>
              <w:jc w:val="left"/>
              <w:spacing w:before="40" w:after="40" w:line="240" w:lineRule="auto"/>
            </w:pPr>
            <w:r>
              <w:t xml:space="preserve">nivolumab</w:t>
            </w:r>
          </w:p>
        </w:tc>
        <w:tc>
          <w:tcPr>
            <w:tcW w:w="2256" w:type="dxa"/>
          </w:tcPr>
          <w:p>
            <w:pPr>
              <w:pStyle w:val="TableText"/>
              <w:jc w:val="left"/>
              <w:spacing w:before="40" w:after="40" w:line="240" w:lineRule="auto"/>
            </w:pPr>
            <w:r>
              <w:t xml:space="preserve">anti-PD-1</w:t>
            </w:r>
          </w:p>
        </w:tc>
        <w:tc>
          <w:tcPr>
            <w:tcW w:w="2258" w:type="dxa"/>
          </w:tcPr>
          <w:p>
            <w:pPr>
              <w:pStyle w:val="TableText"/>
              <w:jc w:val="left"/>
              <w:spacing w:before="40" w:after="40" w:line="240" w:lineRule="auto"/>
            </w:pPr>
            <w:r>
              <w:t xml:space="preserve">IPI+NIVO, pembrolizumab, nivolumab</w:t>
            </w:r>
          </w:p>
        </w:tc>
      </w:tr>
      <w:tr>
        <w:trPr>
          <w:cantSplit/>
        </w:trPr>
        <w:tc>
          <w:tcPr>
            <w:tcW w:w="2256" w:type="dxa"/>
          </w:tcPr>
          <w:p>
            <w:pPr>
              <w:pStyle w:val="TableText"/>
              <w:jc w:val="left"/>
              <w:spacing w:before="40" w:after="40" w:line="240" w:lineRule="auto"/>
            </w:pPr>
            <w:r>
              <w:t xml:space="preserve">Native endpoint</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24-month long-term benefit (PFS-derived)</w:t>
            </w:r>
          </w:p>
        </w:tc>
      </w:tr>
      <w:tr>
        <w:trPr>
          <w:cantSplit/>
        </w:trPr>
        <w:tc>
          <w:tcPr>
            <w:tcW w:w="2256" w:type="dxa"/>
          </w:tcPr>
          <w:p>
            <w:pPr>
              <w:pStyle w:val="TableText"/>
              <w:jc w:val="left"/>
              <w:spacing w:before="40" w:after="40" w:line="240" w:lineRule="auto"/>
            </w:pPr>
            <w:r>
              <w:t xml:space="preserve">Endpoint used here</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RECIST (derived from best overall response)</w:t>
            </w:r>
          </w:p>
        </w:tc>
      </w:tr>
      <w:tr>
        <w:trPr>
          <w:cantSplit/>
        </w:trPr>
        <w:tc>
          <w:tcPr>
            <w:tcW w:w="2256" w:type="dxa"/>
          </w:tcPr>
          <w:p>
            <w:pPr>
              <w:pStyle w:val="TableText"/>
              <w:jc w:val="left"/>
              <w:spacing w:before="40" w:after="40" w:line="240" w:lineRule="auto"/>
            </w:pPr>
            <w:r>
              <w:t xml:space="preserve">Relation to IMPRES derivation</w:t>
            </w:r>
          </w:p>
        </w:tc>
        <w:tc>
          <w:tcPr>
            <w:tcW w:w="2256" w:type="dxa"/>
          </w:tcPr>
          <w:p>
            <w:pPr>
              <w:pStyle w:val="TableText"/>
              <w:jc w:val="left"/>
              <w:spacing w:before="40" w:after="40" w:line="240" w:lineRule="auto"/>
            </w:pPr>
            <w:r>
              <w:t xml:space="preserve">reported validation cohort</w:t>
            </w:r>
          </w:p>
        </w:tc>
        <w:tc>
          <w:tcPr>
            <w:tcW w:w="2256" w:type="dxa"/>
          </w:tcPr>
          <w:p>
            <w:pPr>
              <w:pStyle w:val="TableText"/>
              <w:jc w:val="left"/>
              <w:spacing w:before="40" w:after="40" w:line="240" w:lineRule="auto"/>
            </w:pPr>
            <w:r>
              <w:t xml:space="preserve">none</w:t>
            </w:r>
          </w:p>
        </w:tc>
        <w:tc>
          <w:tcPr>
            <w:tcW w:w="2258" w:type="dxa"/>
          </w:tcPr>
          <w:p>
            <w:pPr>
              <w:pStyle w:val="TableText"/>
              <w:jc w:val="left"/>
              <w:spacing w:before="40" w:after="4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 The registered one-sided Mann–Whitney U test of the primary comparison returns p = 0.474 (mirrored direction p = 0.608).</w:t>
      </w:r>
    </w:p>
    <w:p>
      <w:pPr>
        <w:pStyle w:val="Normal"/>
      </w:pPr>
      <w:r>
        <w:t xml:space="preserve">Two sensitivity analyses were registered in advance for this cohort and both are reported here irrespective of their result, as the protocol requires. Excluding the 22 patients with prior checkpoint-blockade exposure, leaving an immunotherapy-naive population of 36 responders and 27 non-responders, gave 0.518 (0.380–0.656) in the pre-registered direction and 0.468 (0.333–0.610) mirrored. Admitting stable disease as a third category leaves the pairwise discrimination unchanged by construction and the registered one-sided test unchanged at p = 0.474; descriptively, the median score is 3.0 in all three groups (PRCR, stable disease and progression). Neither sensitivity analysis moves the result away from chance, and neither is used to alter the primary comparison.</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0.257. All three are now reported together (Table 2), and Figure 2 shows them side by side for both feature sets.</w:t>
      </w:r>
    </w:p>
    <w:p>
      <w:pPr>
        <w:pStyle w:val="Normal"/>
        <w:jc w:val="center"/>
        <w:keepNext/>
        <w:spacing w:before="120" w:after="60" w:line="240" w:lineRule="auto"/>
      </w:pPr>
      <w:r>
        <w:drawing>
          <wp:inline xmlns:wp="http://schemas.openxmlformats.org/drawingml/2006/wordprocessingDrawing" distT="0" distB="0" distL="0" distR="0">
            <wp:extent cx="5857200" cy="3631464"/>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32290956121a4843"/>
                    <a:stretch>
                      <a:fillRect/>
                    </a:stretch>
                  </pic:blipFill>
                  <pic:spPr>
                    <a:xfrm>
                      <a:off x="0" y="0"/>
                      <a:ext cx="5857200" cy="3631464"/>
                    </a:xfrm>
                    <a:prstGeom prst="rect">
                      <a:avLst/>
                    </a:prstGeom>
                  </pic:spPr>
                </pic:pic>
              </a:graphicData>
            </a:graphic>
          </wp:inline>
        </w:drawing>
      </w:r>
    </w:p>
    <w:p>
      <w:pPr>
        <w:pStyle w:val="Caption"/>
        <w:jc w:val="left"/>
      </w:pPr>
      <w:r>
        <w:t>Figure 2. Nested cross-validation performance under the three registered AUC conventions, for the pre-registered six-feature Hallmark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Convention</w:t>
            </w:r>
          </w:p>
        </w:tc>
        <w:tc>
          <w:tcPr>
            <w:tcW w:w="3008" w:type="dxa"/>
            <w:tcBorders>
              <w:bottom w:val="single" w:sz="8" w:space="0"/>
            </w:tcBorders>
          </w:tcPr>
          <w:p>
            <w:pPr>
              <w:pStyle w:val="TableText"/>
              <w:jc w:val="left"/>
              <w:spacing w:before="40" w:after="40" w:line="240" w:lineRule="auto"/>
            </w:pPr>
            <w:r>
              <w:rPr>
                <w:b/>
              </w:rPr>
              <w:t xml:space="preserve">Pre-registered panel (6 features)</w:t>
            </w:r>
          </w:p>
        </w:tc>
        <w:tc>
          <w:tcPr>
            <w:tcW w:w="3010" w:type="dxa"/>
            <w:tcBorders>
              <w:bottom w:val="single" w:sz="8" w:space="0"/>
            </w:tcBorders>
          </w:tcPr>
          <w:p>
            <w:pPr>
              <w:pStyle w:val="TableText"/>
              <w:jc w:val="left"/>
              <w:spacing w:before="40" w:after="40" w:line="240" w:lineRule="auto"/>
            </w:pPr>
            <w:r>
              <w:rPr>
                <w:b/>
              </w:rPr>
              <w:t xml:space="preserve">Set actually used (17 features)</w:t>
            </w:r>
          </w:p>
        </w:tc>
      </w:tr>
      <w:tr>
        <w:trPr>
          <w:cantSplit/>
        </w:trPr>
        <w:tc>
          <w:tcPr>
            <w:tcW w:w="3008" w:type="dxa"/>
          </w:tcPr>
          <w:p>
            <w:pPr>
              <w:pStyle w:val="TableText"/>
              <w:jc w:val="left"/>
              <w:spacing w:before="40" w:after="40" w:line="240" w:lineRule="auto"/>
            </w:pPr>
            <w:r>
              <w:t xml:space="preserve">Pooled out-of-fold AUC</w:t>
            </w:r>
          </w:p>
        </w:tc>
        <w:tc>
          <w:tcPr>
            <w:tcW w:w="3008" w:type="dxa"/>
          </w:tcPr>
          <w:p>
            <w:pPr>
              <w:pStyle w:val="TableText"/>
              <w:jc w:val="left"/>
              <w:spacing w:before="40" w:after="40" w:line="240" w:lineRule="auto"/>
            </w:pPr>
            <w:r>
              <w:t xml:space="preserve">0.417</w:t>
            </w:r>
          </w:p>
        </w:tc>
        <w:tc>
          <w:tcPr>
            <w:tcW w:w="3010" w:type="dxa"/>
          </w:tcPr>
          <w:p>
            <w:pPr>
              <w:pStyle w:val="TableText"/>
              <w:jc w:val="left"/>
              <w:spacing w:before="40" w:after="40" w:line="240" w:lineRule="auto"/>
            </w:pPr>
            <w:r>
              <w:t xml:space="preserve">0.500</w:t>
            </w:r>
          </w:p>
        </w:tc>
      </w:tr>
      <w:tr>
        <w:trPr>
          <w:cantSplit/>
        </w:trPr>
        <w:tc>
          <w:tcPr>
            <w:tcW w:w="3008" w:type="dxa"/>
          </w:tcPr>
          <w:p>
            <w:pPr>
              <w:pStyle w:val="TableText"/>
              <w:jc w:val="left"/>
              <w:spacing w:before="40" w:after="40" w:line="240" w:lineRule="auto"/>
            </w:pPr>
            <w:r>
              <w:t xml:space="preserve">Mean across repeats ± SD</w:t>
            </w:r>
          </w:p>
        </w:tc>
        <w:tc>
          <w:tcPr>
            <w:tcW w:w="3008" w:type="dxa"/>
          </w:tcPr>
          <w:p>
            <w:pPr>
              <w:pStyle w:val="TableText"/>
              <w:jc w:val="left"/>
              <w:spacing w:before="40" w:after="40" w:line="240" w:lineRule="auto"/>
            </w:pPr>
            <w:r>
              <w:t xml:space="preserve">0.408 ± 0.046</w:t>
            </w:r>
          </w:p>
        </w:tc>
        <w:tc>
          <w:tcPr>
            <w:tcW w:w="3010" w:type="dxa"/>
          </w:tcPr>
          <w:p>
            <w:pPr>
              <w:pStyle w:val="TableText"/>
              <w:jc w:val="left"/>
              <w:spacing w:before="40" w:after="40" w:line="240" w:lineRule="auto"/>
            </w:pPr>
            <w:r>
              <w:t xml:space="preserve">0.516 ± 0.112</w:t>
            </w:r>
          </w:p>
        </w:tc>
      </w:tr>
      <w:tr>
        <w:trPr>
          <w:cantSplit/>
        </w:trPr>
        <w:tc>
          <w:tcPr>
            <w:tcW w:w="3008" w:type="dxa"/>
          </w:tcPr>
          <w:p>
            <w:pPr>
              <w:pStyle w:val="TableText"/>
              <w:jc w:val="left"/>
              <w:spacing w:before="40" w:after="40" w:line="240" w:lineRule="auto"/>
            </w:pPr>
            <w:r>
              <w:t xml:space="preserve">Mean across outer folds ± SD</w:t>
            </w:r>
          </w:p>
        </w:tc>
        <w:tc>
          <w:tcPr>
            <w:tcW w:w="3008" w:type="dxa"/>
          </w:tcPr>
          <w:p>
            <w:pPr>
              <w:pStyle w:val="TableText"/>
              <w:jc w:val="left"/>
              <w:spacing w:before="40" w:after="40" w:line="240" w:lineRule="auto"/>
            </w:pPr>
            <w:r>
              <w:t xml:space="preserve">0.347 ± 0.213</w:t>
            </w:r>
          </w:p>
        </w:tc>
        <w:tc>
          <w:tcPr>
            <w:tcW w:w="3010" w:type="dxa"/>
          </w:tcPr>
          <w:p>
            <w:pPr>
              <w:pStyle w:val="TableText"/>
              <w:jc w:val="left"/>
              <w:spacing w:before="40" w:after="40" w:line="240" w:lineRule="auto"/>
            </w:pPr>
            <w:r>
              <w:t xml:space="preserve">0.549 ± 0.257</w:t>
            </w:r>
          </w:p>
        </w:tc>
      </w:tr>
    </w:tbl>
    <w:p>
      <w:pPr>
        <w:pStyle w:val="Normal"/>
        <w:spacing w:before="0" w:after="0" w:line="240" w:lineRule="auto"/>
      </w:pPr>
    </w:p>
    <w:p>
      <w:pPr>
        <w:pStyle w:val="Heading2"/>
      </w:pPr>
      <w:r>
        <w:t>3.4. Signature 1 Across Cohorts: Directional Erraticism</w:t>
      </w:r>
    </w:p>
    <w:p>
      <w:pPr>
        <w:pStyle w:val="Normal"/>
      </w:pPr>
      <w:r>
        <w:t xml:space="preserve">The pooling and sign tests in this section were not pre-registered and are reported as post hoc (Section 2.8); they are descriptive of the per-cohort estimates above and are not used to support any conclusion on their own.</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pre-specified high-score direction, which is the direction the Immunophenoscore construction assigns. All three point estimates exceed 0.50, and none of the intervals does so significantly. Under the registered criterion, all three cohorts are recorded as non-reproducing.</w:t>
      </w:r>
    </w:p>
    <w:p>
      <w:pPr>
        <w:pStyle w:val="Normal"/>
      </w:pPr>
      <w:r>
        <w:t xml:space="preserve">The mirrored direction was computed in the same three cohorts, as the protocol required, and is reported here for completeness: 0.396 (0.178–0.626), 0.417 (0.190–0.661) and 0.409 (0.288–0.541). Every mirrored estimate is below chance and every interval spans 0.50, so the reversed score reproduces nothing either. The pre-registration required both directions to be reported; in the first draft of this manuscript only the high-score direction was shown even though the mirrored values had already been computed. That was a reporting omission rather than a change of analysis, and it does not bear on any conclusion.</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It is worth being precise about what a larger sample would buy, because the two requirements are very different. To push the upper bound of the confidence interval below the registered replication threshold of 0.70, at the observed point estimate of 0.591, would take approximately 53 patients per group. To establish instead that a discrimination of 0.591 is genuinely above chance requires far more: on the same convention used for Table 4, the power of the present 45-and-34 comparison at a true AUC of 0.591 is 0.29, and reaching 0.80 would need on the order of 150 patients per group (Section 3.6). Neither is the sample size available here. The I² of zero should not be read as evidence that the cohorts are interchangeable; the more parsimonious reading, given how different the cohorts are, is that the underlying signal is weak enough that population differences are swamped by it. Table 3 collects every cross-cohort estimate in one place and Figure 3 shows them with their intervals.</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b239cb66e6804246"/>
                    <a:stretch>
                      <a:fillRect/>
                    </a:stretch>
                  </pic:blipFill>
                  <pic:spPr>
                    <a:xfrm>
                      <a:off x="0" y="0"/>
                      <a:ext cx="5515200" cy="3419424"/>
                    </a:xfrm>
                    <a:prstGeom prst="rect">
                      <a:avLst/>
                    </a:prstGeom>
                  </pic:spPr>
                </pic:pic>
              </a:graphicData>
            </a:graphic>
          </wp:inline>
        </w:drawing>
      </w:r>
    </w:p>
    <w:p>
      <w:pPr>
        <w:pStyle w:val="Caption"/>
        <w:jc w:val="left"/>
      </w:pPr>
      <w:r>
        <w:t>Figure 3. Discrimination of both signatures across the three validation cohorts, in the pre-registered direction, with 95% bootstrap confidence intervals. (a) and (b) show each cohort in the pre-registered direction, with the dashed line at chance and the shaded band marking the registered replication window, AUC 0.70 to 1.00. Neither signature reaches it. That band is a pre-registered decision threshold and not a published value: IMPRES reports a cross-cohort range of 0.77 to 0.96 in its original publication, whereas IPS-MHC+CP is derived in this study and has no published counterpart, so the same threshold is applied to it purely as a reference bar. (c) plots the same point estimates as a line across cohorts: IMPRES does not agree even on which side of chance it falls, whereas IPS-MHC+CP stays above it throughout. The two signatures therefore fail differently, which is the substantive result.</w:t>
      </w:r>
    </w:p>
    <w:p>
      <w:pPr>
        <w:pStyle w:val="Caption"/>
        <w:keepNext/>
        <w:jc w:val="left"/>
      </w:pPr>
      <w:r>
        <w:rPr>
          <w:b/>
        </w:rPr>
        <w:t>Table 3. Cross-cohort results for both signatures. Single-cohort AUCs with bootstrap 95% intervals, and random-effects pooled estimates over the 138 patients contributing study-level estimates; no patient-level record was pooled. Pooled columns are post hoc (Section 2.8); the single-cohort columns are the pre-registered analyses.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tcBorders>
              <w:bottom w:val="single" w:sz="8" w:space="0"/>
            </w:tcBorders>
          </w:tcPr>
          <w:p>
            <w:pPr>
              <w:pStyle w:val="TableText"/>
              <w:jc w:val="left"/>
              <w:spacing w:before="40" w:after="40" w:line="240" w:lineRule="auto"/>
            </w:pPr>
            <w:r>
              <w:rPr>
                <w:b/>
              </w:rPr>
              <w:t xml:space="preserve">Signature</w:t>
            </w:r>
          </w:p>
        </w:tc>
        <w:tc>
          <w:tcPr>
            <w:tcW w:w="1138" w:type="dxa"/>
            <w:tcBorders>
              <w:bottom w:val="single" w:sz="8" w:space="0"/>
            </w:tcBorders>
          </w:tcPr>
          <w:p>
            <w:pPr>
              <w:pStyle w:val="TableText"/>
              <w:jc w:val="left"/>
              <w:spacing w:before="40" w:after="40" w:line="240" w:lineRule="auto"/>
            </w:pPr>
            <w:r>
              <w:rPr>
                <w:b/>
              </w:rPr>
              <w:t xml:space="preserve">GSE91061</w:t>
            </w:r>
          </w:p>
        </w:tc>
        <w:tc>
          <w:tcPr>
            <w:tcW w:w="1138" w:type="dxa"/>
            <w:tcBorders>
              <w:bottom w:val="single" w:sz="8" w:space="0"/>
            </w:tcBorders>
          </w:tcPr>
          <w:p>
            <w:pPr>
              <w:pStyle w:val="TableText"/>
              <w:jc w:val="left"/>
              <w:spacing w:before="40" w:after="40" w:line="240" w:lineRule="auto"/>
            </w:pPr>
            <w:r>
              <w:rPr>
                <w:b/>
              </w:rPr>
              <w:t xml:space="preserve">GSE78220</w:t>
            </w:r>
          </w:p>
        </w:tc>
        <w:tc>
          <w:tcPr>
            <w:tcW w:w="1138" w:type="dxa"/>
            <w:tcBorders>
              <w:bottom w:val="single" w:sz="8" w:space="0"/>
            </w:tcBorders>
          </w:tcPr>
          <w:p>
            <w:pPr>
              <w:pStyle w:val="TableText"/>
              <w:jc w:val="left"/>
              <w:spacing w:before="40" w:after="40" w:line="240" w:lineRule="auto"/>
            </w:pPr>
            <w:r>
              <w:rPr>
                <w:b/>
              </w:rPr>
              <w:t xml:space="preserve">GSE215868</w:t>
            </w:r>
          </w:p>
        </w:tc>
        <w:tc>
          <w:tcPr>
            <w:tcW w:w="1265" w:type="dxa"/>
            <w:tcBorders>
              <w:bottom w:val="single" w:sz="8" w:space="0"/>
            </w:tcBorders>
          </w:tcPr>
          <w:p>
            <w:pPr>
              <w:pStyle w:val="TableText"/>
              <w:jc w:val="left"/>
              <w:spacing w:before="40" w:after="40" w:line="240" w:lineRule="auto"/>
            </w:pPr>
            <w:r>
              <w:rPr>
                <w:b/>
              </w:rPr>
              <w:t xml:space="preserve">Pooled (RE)</w:t>
            </w:r>
          </w:p>
        </w:tc>
        <w:tc>
          <w:tcPr>
            <w:tcW w:w="674" w:type="dxa"/>
            <w:tcBorders>
              <w:bottom w:val="single" w:sz="8" w:space="0"/>
            </w:tcBorders>
          </w:tcPr>
          <w:p>
            <w:pPr>
              <w:pStyle w:val="TableText"/>
              <w:jc w:val="left"/>
              <w:spacing w:before="40" w:after="40" w:line="240" w:lineRule="auto"/>
            </w:pPr>
            <w:r>
              <w:rPr>
                <w:b/>
              </w:rPr>
              <w:t xml:space="preserve">I²</w:t>
            </w:r>
          </w:p>
        </w:tc>
        <w:tc>
          <w:tcPr>
            <w:tcW w:w="759" w:type="dxa"/>
            <w:tcBorders>
              <w:bottom w:val="single" w:sz="8" w:space="0"/>
            </w:tcBorders>
          </w:tcPr>
          <w:p>
            <w:pPr>
              <w:pStyle w:val="TableText"/>
              <w:jc w:val="left"/>
              <w:spacing w:before="40" w:after="40" w:line="240" w:lineRule="auto"/>
            </w:pPr>
            <w:r>
              <w:rPr>
                <w:b/>
              </w:rPr>
              <w:t xml:space="preserve">p vs 0.50</w:t>
            </w:r>
          </w:p>
        </w:tc>
        <w:tc>
          <w:tcPr>
            <w:tcW w:w="806" w:type="dxa"/>
            <w:tcBorders>
              <w:bottom w:val="single" w:sz="8" w:space="0"/>
            </w:tcBorders>
          </w:tcPr>
          <w:p>
            <w:pPr>
              <w:pStyle w:val="TableText"/>
              <w:jc w:val="left"/>
              <w:spacing w:before="40" w:after="40" w:line="240" w:lineRule="auto"/>
            </w:pPr>
            <w:r>
              <w:rPr>
                <w:b/>
              </w:rPr>
              <w:t xml:space="preserve">Sign test p</w:t>
            </w:r>
          </w:p>
        </w:tc>
      </w:tr>
      <w:tr>
        <w:trPr>
          <w:cantSplit/>
        </w:trPr>
        <w:tc>
          <w:tcPr>
            <w:tcW w:w="2108" w:type="dxa"/>
          </w:tcPr>
          <w:p>
            <w:pPr>
              <w:pStyle w:val="TableText"/>
              <w:jc w:val="left"/>
              <w:spacing w:before="40" w:after="40" w:line="240" w:lineRule="auto"/>
            </w:pPr>
            <w:r>
              <w:t xml:space="preserve">IMPRES, pre-registered direction</w:t>
            </w:r>
          </w:p>
        </w:tc>
        <w:tc>
          <w:tcPr>
            <w:tcW w:w="1138" w:type="dxa"/>
          </w:tcPr>
          <w:p>
            <w:pPr>
              <w:pStyle w:val="TableText"/>
              <w:jc w:val="left"/>
              <w:spacing w:before="40" w:after="40" w:line="240" w:lineRule="auto"/>
            </w:pPr>
            <w:r>
              <w:t xml:space="preserve">0.359 (0.172–0.552)</w:t>
            </w:r>
          </w:p>
        </w:tc>
        <w:tc>
          <w:tcPr>
            <w:tcW w:w="1138" w:type="dxa"/>
          </w:tcPr>
          <w:p>
            <w:pPr>
              <w:pStyle w:val="TableText"/>
              <w:jc w:val="left"/>
              <w:spacing w:before="40" w:after="40" w:line="240" w:lineRule="auto"/>
            </w:pPr>
            <w:r>
              <w:t xml:space="preserve">0.298 (0.122–0.521)</w:t>
            </w:r>
          </w:p>
        </w:tc>
        <w:tc>
          <w:tcPr>
            <w:tcW w:w="1138" w:type="dxa"/>
          </w:tcPr>
          <w:p>
            <w:pPr>
              <w:pStyle w:val="TableText"/>
              <w:jc w:val="left"/>
              <w:spacing w:before="40" w:after="40" w:line="240" w:lineRule="auto"/>
            </w:pPr>
            <w:r>
              <w:t xml:space="preserve">0.505 (0.380–0.631)</w:t>
            </w:r>
          </w:p>
        </w:tc>
        <w:tc>
          <w:tcPr>
            <w:tcW w:w="1265" w:type="dxa"/>
          </w:tcPr>
          <w:p>
            <w:pPr>
              <w:pStyle w:val="TableText"/>
              <w:jc w:val="left"/>
              <w:spacing w:before="40" w:after="40" w:line="240" w:lineRule="auto"/>
            </w:pPr>
            <w:r>
              <w:t xml:space="preserve">0.415 (0.293–0.549)</w:t>
            </w:r>
          </w:p>
        </w:tc>
        <w:tc>
          <w:tcPr>
            <w:tcW w:w="674" w:type="dxa"/>
          </w:tcPr>
          <w:p>
            <w:pPr>
              <w:pStyle w:val="TableText"/>
              <w:jc w:val="left"/>
              <w:spacing w:before="40" w:after="40" w:line="240" w:lineRule="auto"/>
            </w:pPr>
            <w:r>
              <w:t xml:space="preserve">34.6%</w:t>
            </w:r>
          </w:p>
        </w:tc>
        <w:tc>
          <w:tcPr>
            <w:tcW w:w="759" w:type="dxa"/>
          </w:tcPr>
          <w:p>
            <w:pPr>
              <w:pStyle w:val="TableText"/>
              <w:jc w:val="left"/>
              <w:spacing w:before="40" w:after="40" w:line="240" w:lineRule="auto"/>
            </w:pPr>
            <w:r>
              <w:t xml:space="preserve">0.213</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IMPRES, mirrored</w:t>
            </w:r>
          </w:p>
        </w:tc>
        <w:tc>
          <w:tcPr>
            <w:tcW w:w="1138" w:type="dxa"/>
          </w:tcPr>
          <w:p>
            <w:pPr>
              <w:pStyle w:val="TableText"/>
              <w:jc w:val="left"/>
              <w:spacing w:before="40" w:after="40" w:line="240" w:lineRule="auto"/>
            </w:pPr>
            <w:r>
              <w:t xml:space="preserve">0.659 (0.452–0.843)</w:t>
            </w:r>
          </w:p>
        </w:tc>
        <w:tc>
          <w:tcPr>
            <w:tcW w:w="1138" w:type="dxa"/>
          </w:tcPr>
          <w:p>
            <w:pPr>
              <w:pStyle w:val="TableText"/>
              <w:jc w:val="left"/>
              <w:spacing w:before="40" w:after="40" w:line="240" w:lineRule="auto"/>
            </w:pPr>
            <w:r>
              <w:t xml:space="preserve">0.583 (0.351–0.786)</w:t>
            </w:r>
          </w:p>
        </w:tc>
        <w:tc>
          <w:tcPr>
            <w:tcW w:w="1138" w:type="dxa"/>
          </w:tcPr>
          <w:p>
            <w:pPr>
              <w:pStyle w:val="TableText"/>
              <w:jc w:val="left"/>
              <w:spacing w:before="40" w:after="40" w:line="240" w:lineRule="auto"/>
            </w:pPr>
            <w:r>
              <w:t xml:space="preserve">0.483 (0.358–0.608)</w:t>
            </w:r>
          </w:p>
        </w:tc>
        <w:tc>
          <w:tcPr>
            <w:tcW w:w="1265" w:type="dxa"/>
          </w:tcPr>
          <w:p>
            <w:pPr>
              <w:pStyle w:val="TableText"/>
              <w:jc w:val="left"/>
              <w:spacing w:before="40" w:after="40" w:line="240" w:lineRule="auto"/>
            </w:pPr>
            <w:r>
              <w:t xml:space="preserve">0.537 (0.435–0.635)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0.480</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IPS-MHC+CP, high-score direction</w:t>
            </w:r>
          </w:p>
        </w:tc>
        <w:tc>
          <w:tcPr>
            <w:tcW w:w="1138" w:type="dxa"/>
          </w:tcPr>
          <w:p>
            <w:pPr>
              <w:pStyle w:val="TableText"/>
              <w:jc w:val="left"/>
              <w:spacing w:before="40" w:after="40" w:line="240" w:lineRule="auto"/>
            </w:pPr>
            <w:r>
              <w:t xml:space="preserve">0.604 (0.365–0.822)</w:t>
            </w:r>
          </w:p>
        </w:tc>
        <w:tc>
          <w:tcPr>
            <w:tcW w:w="1138" w:type="dxa"/>
          </w:tcPr>
          <w:p>
            <w:pPr>
              <w:pStyle w:val="TableText"/>
              <w:jc w:val="left"/>
              <w:spacing w:before="40" w:after="40" w:line="240" w:lineRule="auto"/>
            </w:pPr>
            <w:r>
              <w:t xml:space="preserve">0.583 (0.339–0.821)</w:t>
            </w:r>
          </w:p>
        </w:tc>
        <w:tc>
          <w:tcPr>
            <w:tcW w:w="1138" w:type="dxa"/>
          </w:tcPr>
          <w:p>
            <w:pPr>
              <w:pStyle w:val="TableText"/>
              <w:jc w:val="left"/>
              <w:spacing w:before="40" w:after="40" w:line="240" w:lineRule="auto"/>
            </w:pPr>
            <w:r>
              <w:t xml:space="preserve">0.591 (0.463–0.714)</w:t>
            </w:r>
          </w:p>
        </w:tc>
        <w:tc>
          <w:tcPr>
            <w:tcW w:w="1265" w:type="dxa"/>
          </w:tcPr>
          <w:p>
            <w:pPr>
              <w:pStyle w:val="TableText"/>
              <w:jc w:val="left"/>
              <w:spacing w:before="40" w:after="40" w:line="240" w:lineRule="auto"/>
            </w:pPr>
            <w:r>
              <w:t xml:space="preserve">0.592 (0.492–0.685)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0.071</w:t>
            </w:r>
          </w:p>
        </w:tc>
        <w:tc>
          <w:tcPr>
            <w:tcW w:w="806" w:type="dxa"/>
          </w:tcPr>
          <w:p>
            <w:pPr>
              <w:pStyle w:val="TableText"/>
              <w:jc w:val="left"/>
              <w:spacing w:before="40" w:after="40" w:line="240" w:lineRule="auto"/>
            </w:pPr>
            <w:r>
              <w:t xml:space="preserve">0.25</w:t>
            </w:r>
          </w:p>
        </w:tc>
      </w:tr>
      <w:tr>
        <w:trPr>
          <w:cantSplit/>
        </w:trPr>
        <w:tc>
          <w:tcPr>
            <w:tcW w:w="2108" w:type="dxa"/>
          </w:tcPr>
          <w:p>
            <w:pPr>
              <w:pStyle w:val="TableText"/>
              <w:jc w:val="left"/>
              <w:spacing w:before="40" w:after="40" w:line="240" w:lineRule="auto"/>
            </w:pPr>
            <w:r>
              <w:t xml:space="preserve">IPS-MHC+CP, mirrored</w:t>
            </w:r>
          </w:p>
        </w:tc>
        <w:tc>
          <w:tcPr>
            <w:tcW w:w="1138" w:type="dxa"/>
          </w:tcPr>
          <w:p>
            <w:pPr>
              <w:pStyle w:val="TableText"/>
              <w:jc w:val="left"/>
              <w:spacing w:before="40" w:after="40" w:line="240" w:lineRule="auto"/>
            </w:pPr>
            <w:r>
              <w:t xml:space="preserve">0.396 (0.178–0.626)</w:t>
            </w:r>
          </w:p>
        </w:tc>
        <w:tc>
          <w:tcPr>
            <w:tcW w:w="1138" w:type="dxa"/>
          </w:tcPr>
          <w:p>
            <w:pPr>
              <w:pStyle w:val="TableText"/>
              <w:jc w:val="left"/>
              <w:spacing w:before="40" w:after="40" w:line="240" w:lineRule="auto"/>
            </w:pPr>
            <w:r>
              <w:t xml:space="preserve">0.417 (0.190–0.661)</w:t>
            </w:r>
          </w:p>
        </w:tc>
        <w:tc>
          <w:tcPr>
            <w:tcW w:w="1138" w:type="dxa"/>
          </w:tcPr>
          <w:p>
            <w:pPr>
              <w:pStyle w:val="TableText"/>
              <w:jc w:val="left"/>
              <w:spacing w:before="40" w:after="40" w:line="240" w:lineRule="auto"/>
            </w:pPr>
            <w:r>
              <w:t xml:space="preserve">0.409 (0.288–0.541)</w:t>
            </w:r>
          </w:p>
        </w:tc>
        <w:tc>
          <w:tcPr>
            <w:tcW w:w="1265" w:type="dxa"/>
          </w:tcPr>
          <w:p>
            <w:pPr>
              <w:pStyle w:val="TableText"/>
              <w:jc w:val="left"/>
              <w:spacing w:before="40" w:after="40" w:line="240" w:lineRule="auto"/>
            </w:pPr>
            <w:r>
              <w:t xml:space="preserve">not pooled</w:t>
            </w:r>
          </w:p>
        </w:tc>
        <w:tc>
          <w:tcPr>
            <w:tcW w:w="674" w:type="dxa"/>
          </w:tcPr>
          <w:p>
            <w:pPr>
              <w:pStyle w:val="TableText"/>
              <w:jc w:val="left"/>
              <w:spacing w:before="40" w:after="40" w:line="240" w:lineRule="auto"/>
            </w:pPr>
            <w:r>
              <w:t xml:space="preserve">—</w:t>
            </w:r>
          </w:p>
        </w:tc>
        <w:tc>
          <w:tcPr>
            <w:tcW w:w="759" w:type="dxa"/>
          </w:tcPr>
          <w:p>
            <w:pPr>
              <w:pStyle w:val="TableText"/>
              <w:jc w:val="left"/>
              <w:spacing w:before="40" w:after="40" w:line="240" w:lineRule="auto"/>
            </w:pPr>
            <w:r>
              <w:t xml:space="preserve">—</w:t>
            </w:r>
          </w:p>
        </w:tc>
        <w:tc>
          <w:tcPr>
            <w:tcW w:w="806" w:type="dxa"/>
          </w:tcPr>
          <w:p>
            <w:pPr>
              <w:pStyle w:val="TableText"/>
              <w:jc w:val="left"/>
              <w:spacing w:before="40" w:after="4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and Table 4 gives the powers directly.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is 0.661 at 45 patients per group and 0.681 at 34 per group, the latter being the smaller of the two arms actually available.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 Post hoc (Section 2.8); reported to bound what the negative result can and cannot exclude, not to qualify the pre-registered comparison.</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tcBorders>
              <w:bottom w:val="single" w:sz="8" w:space="0"/>
            </w:tcBorders>
          </w:tcPr>
          <w:p>
            <w:pPr>
              <w:pStyle w:val="TableText"/>
              <w:jc w:val="left"/>
              <w:spacing w:before="40" w:after="40" w:line="240" w:lineRule="auto"/>
            </w:pPr>
            <w:r>
              <w:rPr>
                <w:b/>
              </w:rPr>
              <w:t xml:space="preserve">True AUC</w:t>
            </w:r>
          </w:p>
        </w:tc>
        <w:tc>
          <w:tcPr>
            <w:tcW w:w="1805" w:type="dxa"/>
            <w:tcBorders>
              <w:bottom w:val="single" w:sz="8" w:space="0"/>
            </w:tcBorders>
          </w:tcPr>
          <w:p>
            <w:pPr>
              <w:pStyle w:val="TableText"/>
              <w:jc w:val="left"/>
              <w:spacing w:before="40" w:after="40" w:line="240" w:lineRule="auto"/>
            </w:pPr>
            <w:r>
              <w:rPr>
                <w:b/>
              </w:rPr>
              <w:t xml:space="preserve">0.60</w:t>
            </w:r>
          </w:p>
        </w:tc>
        <w:tc>
          <w:tcPr>
            <w:tcW w:w="1805" w:type="dxa"/>
            <w:tcBorders>
              <w:bottom w:val="single" w:sz="8" w:space="0"/>
            </w:tcBorders>
          </w:tcPr>
          <w:p>
            <w:pPr>
              <w:pStyle w:val="TableText"/>
              <w:jc w:val="left"/>
              <w:spacing w:before="40" w:after="40" w:line="240" w:lineRule="auto"/>
            </w:pPr>
            <w:r>
              <w:rPr>
                <w:b/>
              </w:rPr>
              <w:t xml:space="preserve">0.65</w:t>
            </w:r>
          </w:p>
        </w:tc>
        <w:tc>
          <w:tcPr>
            <w:tcW w:w="1805" w:type="dxa"/>
            <w:tcBorders>
              <w:bottom w:val="single" w:sz="8" w:space="0"/>
            </w:tcBorders>
          </w:tcPr>
          <w:p>
            <w:pPr>
              <w:pStyle w:val="TableText"/>
              <w:jc w:val="left"/>
              <w:spacing w:before="40" w:after="40" w:line="240" w:lineRule="auto"/>
            </w:pPr>
            <w:r>
              <w:rPr>
                <w:b/>
              </w:rPr>
              <w:t xml:space="preserve">0.70</w:t>
            </w:r>
          </w:p>
        </w:tc>
        <w:tc>
          <w:tcPr>
            <w:tcW w:w="1806" w:type="dxa"/>
            <w:tcBorders>
              <w:bottom w:val="single" w:sz="8" w:space="0"/>
            </w:tcBorders>
          </w:tcPr>
          <w:p>
            <w:pPr>
              <w:pStyle w:val="TableText"/>
              <w:jc w:val="left"/>
              <w:spacing w:before="40" w:after="40" w:line="240" w:lineRule="auto"/>
            </w:pPr>
            <w:r>
              <w:rPr>
                <w:b/>
              </w:rPr>
              <w:t xml:space="preserve">0.77</w:t>
            </w:r>
          </w:p>
        </w:tc>
      </w:tr>
      <w:tr>
        <w:trPr>
          <w:cantSplit/>
        </w:trPr>
        <w:tc>
          <w:tcPr>
            <w:tcW w:w="1805" w:type="dxa"/>
          </w:tcPr>
          <w:p>
            <w:pPr>
              <w:pStyle w:val="TableText"/>
              <w:jc w:val="left"/>
              <w:spacing w:before="40" w:after="40" w:line="240" w:lineRule="auto"/>
            </w:pPr>
            <w:r>
              <w:t xml:space="preserve">Power</w:t>
            </w:r>
          </w:p>
        </w:tc>
        <w:tc>
          <w:tcPr>
            <w:tcW w:w="1805" w:type="dxa"/>
          </w:tcPr>
          <w:p>
            <w:pPr>
              <w:pStyle w:val="TableText"/>
              <w:jc w:val="left"/>
              <w:spacing w:before="40" w:after="40" w:line="240" w:lineRule="auto"/>
            </w:pPr>
            <w:r>
              <w:t xml:space="preserve">0.347</w:t>
            </w:r>
          </w:p>
        </w:tc>
        <w:tc>
          <w:tcPr>
            <w:tcW w:w="1805" w:type="dxa"/>
          </w:tcPr>
          <w:p>
            <w:pPr>
              <w:pStyle w:val="TableText"/>
              <w:jc w:val="left"/>
              <w:spacing w:before="40" w:after="40" w:line="240" w:lineRule="auto"/>
            </w:pPr>
            <w:r>
              <w:t xml:space="preserve">0.685</w:t>
            </w:r>
          </w:p>
        </w:tc>
        <w:tc>
          <w:tcPr>
            <w:tcW w:w="1805" w:type="dxa"/>
          </w:tcPr>
          <w:p>
            <w:pPr>
              <w:pStyle w:val="TableText"/>
              <w:jc w:val="left"/>
              <w:spacing w:before="40" w:after="40" w:line="240" w:lineRule="auto"/>
            </w:pPr>
            <w:r>
              <w:t xml:space="preserve">0.929</w:t>
            </w:r>
          </w:p>
        </w:tc>
        <w:tc>
          <w:tcPr>
            <w:tcW w:w="1806" w:type="dxa"/>
          </w:tcPr>
          <w:p>
            <w:pPr>
              <w:pStyle w:val="TableText"/>
              <w:jc w:val="left"/>
              <w:spacing w:before="40" w:after="4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analyses in this section were not pre-registered and are reported as post hoc (Section 2.9). They address why the result is negative, not whether it is; nothing in this section is used to alter the pre-registered comparison.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point estimate exactly (AUC 0.359 in both; the re-run interval is 0.180–0.557 against 0.172–0.552 in Table 3, the difference being a separate bootstrap resampling), with 10 responders and 23 non-responders, which also serves as an independent check that the scoring implementation is stable. The on-treatment stratum did not recover the signal; it reversed, giving 0.172 (0.057–0.309) with 12 responders and 24 non-responders, an interval lying entirely below chance. Pooling the two visits gives 0.250 (0.140–0.370), but that pooled figure is a sample-level quantity: it rests on 69 biopsies drawn from the 65 patients of this cohort, with the multi-visit patients contributing twice. It is reported only for completeness; no conclusion here rests on it, and the patient-level figures quoted above are the ones used.</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full stratified results are given in Table 5 rather than only the favourable strata: a table reporting only the good ones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Caption"/>
        <w:keepNext/>
        <w:jc w:val="left"/>
      </w:pPr>
      <w:r>
        <w:rPr>
          <w:b/>
        </w:rPr>
        <w:t>Table 5. Stratified results underlying Section 3.7, reported in full including strata that do not favour the conclusion. n is responders / non-responders. Post hoc (Section 2.9); no inferential claim is made from any stratum.</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129"/>
        <w:gridCol w:w="1805"/>
        <w:gridCol w:w="1323"/>
        <w:gridCol w:w="2769"/>
      </w:tblGrid>
      <w:tr>
        <w:trPr>
          <w:tblHeader/>
          <w:cantSplit/>
        </w:trPr>
        <w:tc>
          <w:tcPr>
            <w:tcW w:w="3129" w:type="dxa"/>
            <w:tcBorders>
              <w:bottom w:val="single" w:sz="8" w:space="0"/>
            </w:tcBorders>
          </w:tcPr>
          <w:p>
            <w:pPr>
              <w:pStyle w:val="TableText"/>
              <w:jc w:val="left"/>
              <w:spacing w:before="40" w:after="40" w:line="240" w:lineRule="auto"/>
            </w:pPr>
            <w:r>
              <w:rPr>
                <w:b/>
              </w:rPr>
              <w:t xml:space="preserve">Stratum</w:t>
            </w:r>
          </w:p>
        </w:tc>
        <w:tc>
          <w:tcPr>
            <w:tcW w:w="1805" w:type="dxa"/>
            <w:tcBorders>
              <w:bottom w:val="single" w:sz="8" w:space="0"/>
            </w:tcBorders>
          </w:tcPr>
          <w:p>
            <w:pPr>
              <w:pStyle w:val="TableText"/>
              <w:jc w:val="left"/>
              <w:spacing w:before="40" w:after="40" w:line="240" w:lineRule="auto"/>
            </w:pPr>
            <w:r>
              <w:rPr>
                <w:b/>
              </w:rPr>
              <w:t xml:space="preserve">Signature</w:t>
            </w:r>
          </w:p>
        </w:tc>
        <w:tc>
          <w:tcPr>
            <w:tcW w:w="1323" w:type="dxa"/>
            <w:tcBorders>
              <w:bottom w:val="single" w:sz="8" w:space="0"/>
            </w:tcBorders>
          </w:tcPr>
          <w:p>
            <w:pPr>
              <w:pStyle w:val="TableText"/>
              <w:jc w:val="left"/>
              <w:spacing w:before="40" w:after="40" w:line="240" w:lineRule="auto"/>
            </w:pPr>
            <w:r>
              <w:rPr>
                <w:b/>
              </w:rPr>
              <w:t xml:space="preserve">n</w:t>
            </w:r>
          </w:p>
        </w:tc>
        <w:tc>
          <w:tcPr>
            <w:tcW w:w="2769" w:type="dxa"/>
            <w:tcBorders>
              <w:bottom w:val="single" w:sz="8" w:space="0"/>
            </w:tcBorders>
          </w:tcPr>
          <w:p>
            <w:pPr>
              <w:pStyle w:val="TableText"/>
              <w:jc w:val="left"/>
              <w:spacing w:before="40" w:after="40" w:line="240" w:lineRule="auto"/>
            </w:pPr>
            <w:r>
              <w:rPr>
                <w:b/>
              </w:rPr>
              <w:t xml:space="preserve">AUC (95% bootstrap CI)</w:t>
            </w:r>
          </w:p>
        </w:tc>
      </w:tr>
      <w:tr>
        <w:trPr>
          <w:cantSplit/>
        </w:trPr>
        <w:tc>
          <w:tcPr>
            <w:tcW w:w="3129" w:type="dxa"/>
          </w:tcPr>
          <w:p>
            <w:pPr>
              <w:pStyle w:val="TableText"/>
              <w:jc w:val="left"/>
              <w:spacing w:before="40" w:after="40" w:line="240" w:lineRule="auto"/>
            </w:pPr>
            <w:r>
              <w:t xml:space="preserve">Biopsy timepoint: pre-treatment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23</w:t>
            </w:r>
          </w:p>
        </w:tc>
        <w:tc>
          <w:tcPr>
            <w:tcW w:w="2769" w:type="dxa"/>
          </w:tcPr>
          <w:p>
            <w:pPr>
              <w:pStyle w:val="TableText"/>
              <w:jc w:val="left"/>
              <w:spacing w:before="40" w:after="40" w:line="240" w:lineRule="auto"/>
            </w:pPr>
            <w:r>
              <w:t xml:space="preserve">0.359 (0.180–0.557)</w:t>
            </w:r>
          </w:p>
        </w:tc>
      </w:tr>
      <w:tr>
        <w:trPr>
          <w:cantSplit/>
        </w:trPr>
        <w:tc>
          <w:tcPr>
            <w:tcW w:w="3129" w:type="dxa"/>
          </w:tcPr>
          <w:p>
            <w:pPr>
              <w:pStyle w:val="TableText"/>
              <w:jc w:val="left"/>
              <w:spacing w:before="40" w:after="40" w:line="240" w:lineRule="auto"/>
            </w:pPr>
            <w:r>
              <w:t xml:space="preserve">Biopsy timepoint: on-treatment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12 / 24</w:t>
            </w:r>
          </w:p>
        </w:tc>
        <w:tc>
          <w:tcPr>
            <w:tcW w:w="2769" w:type="dxa"/>
          </w:tcPr>
          <w:p>
            <w:pPr>
              <w:pStyle w:val="TableText"/>
              <w:jc w:val="left"/>
              <w:spacing w:before="40" w:after="40" w:line="240" w:lineRule="auto"/>
            </w:pPr>
            <w:r>
              <w:t xml:space="preserve">0.172 (0.057–0.309)</w:t>
            </w:r>
          </w:p>
        </w:tc>
      </w:tr>
      <w:tr>
        <w:trPr>
          <w:cantSplit/>
        </w:trPr>
        <w:tc>
          <w:tcPr>
            <w:tcW w:w="3129" w:type="dxa"/>
          </w:tcPr>
          <w:p>
            <w:pPr>
              <w:pStyle w:val="TableText"/>
              <w:jc w:val="left"/>
              <w:spacing w:before="40" w:after="40" w:line="240" w:lineRule="auto"/>
            </w:pPr>
            <w:r>
              <w:t xml:space="preserve">Biopsy timepoint: both visits pooled*</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22 / 47</w:t>
            </w:r>
          </w:p>
        </w:tc>
        <w:tc>
          <w:tcPr>
            <w:tcW w:w="2769" w:type="dxa"/>
          </w:tcPr>
          <w:p>
            <w:pPr>
              <w:pStyle w:val="TableText"/>
              <w:jc w:val="left"/>
              <w:spacing w:before="40" w:after="40" w:line="240" w:lineRule="auto"/>
            </w:pPr>
            <w:r>
              <w:t xml:space="preserve">0.250 (0.140–0.370)</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0.490 (0.304–0.682)</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0.485 (0.235–0.730)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0.547 (0.297–0.801)</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0.524 (0.326–0.726)</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0.710 (0.450–0.920)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0.570 (0.320–0.805)</w:t>
            </w:r>
          </w:p>
        </w:tc>
      </w:tr>
      <w:tr>
        <w:trPr>
          <w:cantSplit/>
        </w:trPr>
        <w:tc>
          <w:tcPr>
            <w:tcW w:w="3129" w:type="dxa"/>
          </w:tcPr>
          <w:p>
            <w:pPr>
              <w:pStyle w:val="TableText"/>
              <w:jc w:val="left"/>
              <w:spacing w:before="40" w:after="40" w:line="240" w:lineRule="auto"/>
            </w:pPr>
            <w:r>
              <w:t xml:space="preserve">Regimen: nivolumab + experimental…</w:t>
            </w:r>
          </w:p>
        </w:tc>
        <w:tc>
          <w:tcPr>
            <w:tcW w:w="1805" w:type="dxa"/>
          </w:tcPr>
          <w:p>
            <w:pPr>
              <w:pStyle w:val="TableText"/>
              <w:jc w:val="left"/>
              <w:spacing w:before="40" w:after="40" w:line="240" w:lineRule="auto"/>
            </w:pPr>
            <w:r>
              <w:t xml:space="preserve">both</w:t>
            </w:r>
          </w:p>
        </w:tc>
        <w:tc>
          <w:tcPr>
            <w:tcW w:w="1323" w:type="dxa"/>
          </w:tcPr>
          <w:p>
            <w:pPr>
              <w:pStyle w:val="TableText"/>
              <w:jc w:val="left"/>
              <w:spacing w:before="40" w:after="40" w:line="240" w:lineRule="auto"/>
            </w:pPr>
            <w:r>
              <w:t xml:space="preserve">1 / 0</w:t>
            </w:r>
          </w:p>
        </w:tc>
        <w:tc>
          <w:tcPr>
            <w:tcW w:w="2769" w:type="dxa"/>
          </w:tcPr>
          <w:p>
            <w:pPr>
              <w:pStyle w:val="TableText"/>
              <w:jc w:val="left"/>
              <w:spacing w:before="40" w:after="40" w:line="240" w:lineRule="auto"/>
            </w:pPr>
            <w:r>
              <w:t xml:space="preserve">not estimable (a single responder)</w:t>
            </w:r>
          </w:p>
        </w:tc>
      </w:tr>
    </w:tbl>
    <w:p>
      <w:pPr>
        <w:pStyle w:val="Normal"/>
        <w:spacing w:before="0" w:after="0" w:line="240" w:lineRule="auto"/>
      </w:pPr>
    </w:p>
    <w:p>
      <w:pPr>
        <w:pStyle w:val="Normal"/>
      </w:pPr>
      <w:r>
        <w:t xml:space="preserve">* The pooled-visit row is a sample-level quantity resting on 69 biopsies from 65 patients and is shown for completeness only. The fourth regimen stratum contained one patient and is listed so that the table is complete; no AUC can be formed from it. Figure 4 shows the artefact used to address each registered explanation, and Table 6 records the verdict, including the two that the available data cannot exclude.</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33fe8ae208fa447e"/>
                    <a:stretch>
                      <a:fillRect/>
                    </a:stretch>
                  </pic:blipFill>
                  <pic:spPr>
                    <a:xfrm>
                      <a:off x="0" y="0"/>
                      <a:ext cx="6163200" cy="3821184"/>
                    </a:xfrm>
                    <a:prstGeom prst="rect">
                      <a:avLst/>
                    </a:prstGeom>
                  </pic:spPr>
                </pic:pic>
              </a:graphicData>
            </a:graphic>
          </wp:inline>
        </w:drawing>
      </w:r>
    </w:p>
    <w:p>
      <w:pPr>
        <w:pStyle w:val="Caption"/>
        <w:jc w:val="left"/>
      </w:pPr>
      <w:r>
        <w:t>Figure 4. The seven technical explanations registered in advance and the artefact used to address each, with the two explanations that the available data cannot exclude. (a) implementation and normalisation invariance, shown as per-sample scores under four normalisations in two directions, all eight combinations identical; (b) the fraction of IMPRES gene pairs with informative pairwise orderings in each cohort; (c) the ratio of observed to independence-expected score standard deviation, showing no low-dimensional collapse; (d) biopsy-timepoint strata and (e) treatment-regimen strata, reported in full including strata that do not favour the conclusion; (f) power of the primary comparison, 45 responders and 34 non-responders, as a function of the true AUC, with the registered 0.70 threshold and the 0.77 lower bound of the published range marked. Panel titles follow the registration order given in Section 2.7; item 7, endpoint definition, required no data panel and is documented in the band.</w:t>
      </w:r>
    </w:p>
    <w:p>
      <w:pPr>
        <w:pStyle w:val="Caption"/>
        <w:keepNext/>
        <w:jc w:val="left"/>
      </w:pPr>
      <w:r>
        <w:rPr>
          <w:b/>
        </w:rPr>
        <w:t>Table 6. Attribution boundary. Alternative explanations for the negative result, whether the present data can exclude them, and the artefact that does so.</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Alternative explanation</w:t>
            </w:r>
          </w:p>
        </w:tc>
        <w:tc>
          <w:tcPr>
            <w:tcW w:w="3008" w:type="dxa"/>
            <w:tcBorders>
              <w:bottom w:val="single" w:sz="8" w:space="0"/>
            </w:tcBorders>
          </w:tcPr>
          <w:p>
            <w:pPr>
              <w:pStyle w:val="TableText"/>
              <w:jc w:val="left"/>
              <w:spacing w:before="40" w:after="40" w:line="240" w:lineRule="auto"/>
            </w:pPr>
            <w:r>
              <w:rPr>
                <w:b/>
              </w:rPr>
              <w:t xml:space="preserve">Excludable here?</w:t>
            </w:r>
          </w:p>
        </w:tc>
        <w:tc>
          <w:tcPr>
            <w:tcW w:w="3010" w:type="dxa"/>
            <w:tcBorders>
              <w:bottom w:val="single" w:sz="8" w:space="0"/>
            </w:tcBorders>
          </w:tcPr>
          <w:p>
            <w:pPr>
              <w:pStyle w:val="TableText"/>
              <w:jc w:val="left"/>
              <w:spacing w:before="40" w:after="40" w:line="240" w:lineRule="auto"/>
            </w:pPr>
            <w:r>
              <w:rPr>
                <w:b/>
              </w:rPr>
              <w:t xml:space="preserve">Basis</w:t>
            </w:r>
          </w:p>
        </w:tc>
      </w:tr>
      <w:tr>
        <w:trPr>
          <w:cantSplit/>
        </w:trPr>
        <w:tc>
          <w:tcPr>
            <w:tcW w:w="3008" w:type="dxa"/>
          </w:tcPr>
          <w:p>
            <w:pPr>
              <w:pStyle w:val="TableText"/>
              <w:jc w:val="left"/>
              <w:spacing w:before="40" w:after="40" w:line="240" w:lineRule="auto"/>
            </w:pPr>
            <w:r>
              <w:t xml:space="preserve">Implementation error</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Normalisation-invariance check (4 normalisations × 2 directions, 8/8 identical scores) rules out normalisation-dependent implementation error. The reconstructed 15-pair list and the direction convention (Section 2.4) cannot be verified against the publication and are not excluded</w:t>
            </w:r>
          </w:p>
        </w:tc>
      </w:tr>
      <w:tr>
        <w:trPr>
          <w:cantSplit/>
        </w:trPr>
        <w:tc>
          <w:tcPr>
            <w:tcW w:w="3008" w:type="dxa"/>
          </w:tcPr>
          <w:p>
            <w:pPr>
              <w:pStyle w:val="TableText"/>
              <w:jc w:val="left"/>
              <w:spacing w:before="40" w:after="40" w:line="240" w:lineRule="auto"/>
            </w:pPr>
            <w:r>
              <w:t xml:space="preserve">Normalisation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IMPRES is provably invariant to any monotone transform</w:t>
            </w:r>
          </w:p>
        </w:tc>
      </w:tr>
      <w:tr>
        <w:trPr>
          <w:cantSplit/>
        </w:trPr>
        <w:tc>
          <w:tcPr>
            <w:tcW w:w="3008" w:type="dxa"/>
          </w:tcPr>
          <w:p>
            <w:pPr>
              <w:pStyle w:val="TableText"/>
              <w:jc w:val="left"/>
              <w:spacing w:before="40" w:after="40" w:line="240" w:lineRule="auto"/>
            </w:pPr>
            <w:r>
              <w:t xml:space="preserve">Platform unsuitability</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Targeted panel covers 13/15 IMPRES pairs, at the pre-registered inclusion gate, and scores are non-degenerate in every cohort (SD 1.55–2.26)</w:t>
            </w:r>
          </w:p>
        </w:tc>
      </w:tr>
      <w:tr>
        <w:trPr>
          <w:cantSplit/>
        </w:trPr>
        <w:tc>
          <w:tcPr>
            <w:tcW w:w="3008" w:type="dxa"/>
          </w:tcPr>
          <w:p>
            <w:pPr>
              <w:pStyle w:val="TableText"/>
              <w:jc w:val="left"/>
              <w:spacing w:before="40" w:after="40" w:line="240" w:lineRule="auto"/>
            </w:pPr>
            <w:r>
              <w:t xml:space="preserve">Insufficient sample size</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Power 0.93 at AUC 0.70, 0.999 at AUC 0.77. Not excluded against a weak signal: the 80% power floor is AUC 0.661 at 45 per group and 0.681 at 34 per group, and power at 0.60 is 0.347</w:t>
            </w:r>
          </w:p>
        </w:tc>
      </w:tr>
      <w:tr>
        <w:trPr>
          <w:cantSplit/>
        </w:trPr>
        <w:tc>
          <w:tcPr>
            <w:tcW w:w="3008" w:type="dxa"/>
          </w:tcPr>
          <w:p>
            <w:pPr>
              <w:pStyle w:val="TableText"/>
              <w:jc w:val="left"/>
              <w:spacing w:before="40" w:after="40" w:line="240" w:lineRule="auto"/>
            </w:pPr>
            <w:r>
              <w:t xml:space="preserve">Biopsy timepoint</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Pre-treatment stratum at chance; on-treatment stratum reversed</w:t>
            </w:r>
          </w:p>
        </w:tc>
      </w:tr>
      <w:tr>
        <w:trPr>
          <w:cantSplit/>
        </w:trPr>
        <w:tc>
          <w:tcPr>
            <w:tcW w:w="3008" w:type="dxa"/>
          </w:tcPr>
          <w:p>
            <w:pPr>
              <w:pStyle w:val="TableText"/>
              <w:jc w:val="left"/>
              <w:spacing w:before="40" w:after="40" w:line="240" w:lineRule="auto"/>
            </w:pPr>
            <w:r>
              <w:t xml:space="preserve">Treatment regimen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All three regimen strata at chance for IMPRES</w:t>
            </w:r>
          </w:p>
        </w:tc>
      </w:tr>
      <w:tr>
        <w:trPr>
          <w:cantSplit/>
        </w:trPr>
        <w:tc>
          <w:tcPr>
            <w:tcW w:w="3008" w:type="dxa"/>
          </w:tcPr>
          <w:p>
            <w:pPr>
              <w:pStyle w:val="TableText"/>
              <w:jc w:val="left"/>
              <w:spacing w:before="40" w:after="40" w:line="240" w:lineRule="auto"/>
            </w:pPr>
            <w:r>
              <w:t xml:space="preserve">Endpoint definition</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GSE215868 pulled back to a RECIST definition for comparability. Residual risk: the RECIST labels were parsed by this project and cannot be fully reconciled with formal RECIST assessment</w:t>
            </w:r>
          </w:p>
        </w:tc>
      </w:tr>
      <w:tr>
        <w:trPr>
          <w:cantSplit/>
        </w:trPr>
        <w:tc>
          <w:tcPr>
            <w:tcW w:w="3008" w:type="dxa"/>
          </w:tcPr>
          <w:p>
            <w:pPr>
              <w:pStyle w:val="TableText"/>
              <w:jc w:val="left"/>
              <w:spacing w:before="40" w:after="40" w:line="240" w:lineRule="auto"/>
            </w:pPr>
            <w:r>
              <w:t xml:space="preserve">Population composition</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No matching variables (subtype, mutation, metastatic burden) available for adjustment</w:t>
            </w:r>
          </w:p>
        </w:tc>
      </w:tr>
      <w:tr>
        <w:trPr>
          <w:cantSplit/>
        </w:trPr>
        <w:tc>
          <w:tcPr>
            <w:tcW w:w="3008" w:type="dxa"/>
          </w:tcPr>
          <w:p>
            <w:pPr>
              <w:pStyle w:val="TableText"/>
              <w:jc w:val="left"/>
              <w:spacing w:before="40" w:after="40" w:line="240" w:lineRule="auto"/>
            </w:pPr>
            <w:r>
              <w:t xml:space="preserve">Weakness intrinsic to the derivation cohorts</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the three cohorts, which contributed study-level estimates only; no patient-level record was pooled. IPS-MHC+CP reached 0.591 (0.463–0.714) and pooled to 0.592 (0.492–0.685). Six of the seven pre-specified technical explanations were excluded outright by pre-specified tests; sample size, the seventh, was excluded against the published performance but not against a weak signal.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six enumerated technical causes, with sample size the seventh and only partially excluded. We have not shown that the signatures are without value in the populations from which they were derived.</w:t>
      </w:r>
    </w:p>
    <w:p>
      <w:pPr>
        <w:pStyle w:val="Normal"/>
      </w:pPr>
      <w:r>
        <w:t xml:space="preserve">The reason is structural. The derivation cohort of IMPRES, although nominally public, is GSE115821, which contains too few independent patients to analyse: its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GSE215868 makes the point concretely: 45 of its 79 evaluable patients are responders, a response rate of 57% that is high for an immune checkpoint blockade cohort and reflects that series' question, which was long-term benefit rather than response to first-line treatment. The enrolled populations are therefore not comparable on response composition, and no covariate adjustment can repair that. Cohort heterogeneity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unresolved direction convention in that reconstructed implementation, which the two files in the authors' repository define in opposite orientations and which the normalisation-invariance check does not test; the inability to analyse GSE115821,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because choosing which of several completed analyses to report after seeing their values manufactures significance out of a small number of null results [13].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the six technical causes we could exclude, sample size being the seventh and only partially excluded. IMPRES failed by producing no consistent direction; IPS-MHC+CP produced a consistent but weak signal that the available sample size can neither confirm nor exclude, and for which approximately 53 patients per group would be needed to exclude the published level of discrimination, and on the order of 150 to establish the observed one above chance.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analysis (12 patients) and T-cell receptor analysis (42 libraries from 34 patients, of whom 7 contributed more than one biopsy). It is supplied as a single file, Supplementary_Material_S1.pdf, and comprises per-sample quality-control metrics, the cluster marker table, the pre-specified tie-break rule and its application, the cell-type composition before and after that rule, T-cell receptor clonality, and the per-sample cell-state scores. Every number in it is read from the result files in the public repository rather than transcribed; it is generated by manuscript/build_supplementary.py, and both that script and the analysis scripts that produced the underlying result files are in the same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Zhang G.; Lee J.S.; Frederick D.T.; Miao B.; Moll T.; Tian T.; Wei Z.; Madan S.; Sullivan R.J.; Boland G.; Flaherty K.; Herlyn M.; Ruppin E. Robust prediction of response to immune checkpoint blockade therapy in metastatic melanoma. Nat. Med. 2018, 24, 1545–1549. (The IMPRES signature; note the publisher's correction of December 2018.)</w:t>
      </w:r>
    </w:p>
    <w:p>
      <w:pPr>
        <w:pStyle w:val="Normal"/>
      </w:pPr>
      <w:r>
        <w:t xml:space="preserve">2. Charoentong P.; Finotello F.; Angelova M.; Mayer C.; Efremova M.; Rieder D.; Hackl H.; Trajanoski Z. Pan-cancer immunogenomic analyses reveal genotype–immunophenotype relationships and predictors of response to checkpoint blockade. Cell Rep. 2017, 18, 248–262. (The Immunophenoscore.)</w:t>
      </w:r>
    </w:p>
    <w:p>
      <w:pPr>
        <w:pStyle w:val="Normal"/>
      </w:pPr>
      <w:r>
        <w:t xml:space="preserve">3. Riaz N.; Havel J.J.; Makarov V.; Desrichard A.; Urba W.J.; Sims J.S.; Hodi F.S.; Martín-Algarra S.; Mandal R.; Sharfman W.H.; Bhatia S.; Hwu W.J.; Gajewski T.F.; Slingluff C.L.; Chowell D.; Kendall S.M.; Chang H.; Shah R.; Kuo F.; Morris L.G.T.; Sidhom J.W.; Schneck J.P.; Horak C.E.; Weinhold N.; Chan T.A. Tumor and microenvironment evolution during immunotherapy with nivolumab. Cell 2017, 171, 934–949.e16. (Source of GSE91061.)</w:t>
      </w:r>
    </w:p>
    <w:p>
      <w:pPr>
        <w:pStyle w:val="Normal"/>
      </w:pPr>
      <w:r>
        <w:t xml:space="preserve">4. Hugo W.; Zaretsky J.M.; Sun L.; Song C.; Moreno B.H.; Hu-Lieskovan S.; Berent-Maoz B.; Pang J.; Chmielowski B.; Cherry G.; Seja E.; Lomeli S.; Kong X.; Kelley M.C.; Sosman J.A.; Johnson D.B.; Ribas A.; Lo R.S. Genomic and transcriptomic features of response to anti-PD-1 therapy in metastatic melanoma. Cell 2016, 165, 35–44. (Source of GSE78220.)</w:t>
      </w:r>
    </w:p>
    <w:p>
      <w:pPr>
        <w:pStyle w:val="Normal"/>
      </w:pPr>
      <w:r>
        <w:t xml:space="preserve">5. Vathiotis I.A.; Salichos L.; Martinez-Morilla S.; Gavrielatou N.; Aung T.N.; Shafi S.; Wong P.F.; Jessel S.; Kluger H.M.; Syrigos K.N.; Warren S.; Gerstein M.; Rimm D.L. Baseline gene expression profiling determines long-term benefit to programmed cell death protein 1 axis blockade. NPJ Precis. Oncol. 2022, 6, 92. (Source of GSE215868; native endpoint is 24-month long-term benefit.)</w:t>
      </w:r>
    </w:p>
    <w:p>
      <w:pPr>
        <w:pStyle w:val="Normal"/>
      </w:pPr>
      <w:r>
        <w:t xml:space="preserve">6. Lauss M.; Phung B.; Borch T.H.; Harbst K.; Kaminska K.; Ebbesson A.; Hedenfalk I.; Yuan J.; Nielsen K.; Ingvar C.; Carneiro A.; Isaksson K.; Pietras K.; Svane I.M.; Donia M.; Jönsson G. Molecular patterns of resistance to immune checkpoint blockade in melanoma. Nat. Commun. 2024, 15, 3075. (Source of GSE244982.)</w:t>
      </w:r>
    </w:p>
    <w:p>
      <w:pPr>
        <w:pStyle w:val="Normal"/>
      </w:pPr>
      <w:r>
        <w:t xml:space="preserve">7. Di Pietro A.; Au L.; Crock P.; Thio N.; Pizzolla A.; Nguyen T.N.; Macdonald S.; Chalmers H.; Zhu R.; Airaghi A.; Molden-Hauer T.; Bacac M.; Schwalie P.; Schlenker R.; Levesque M.P.; Mailer S.; Barnes-Cullen K.; Winch K.; Chan J.; Yeung G.A.; Spain L.; Rao A.D.; Sandhu S.; Gyorki D.E.; McArthur G.A.; Mackay L.K.; Neeson P.J. Tumor-resident T cells and dendritic cells form an in situ archetype during immunotherapy response in melanoma. Nat. Commun. 2026, 17, 7445. (Source of GSE294272 and GSE294273.)</w:t>
      </w:r>
    </w:p>
    <w:p>
      <w:pPr>
        <w:pStyle w:val="Normal"/>
      </w:pPr>
      <w:r>
        <w:t xml:space="preserve">8. Tumor-intrinsic and extrinsic immune mechanisms define resistance to immune checkpoint blockade in metastatic melanoma. GEO Series GSE308433, GSE308434 and GSE308435 [Internet]. Columbia University, Izar laboratory; cited by accession because no peer-reviewed publication is linked to these accessions in GEO. Available at: https://www.ncbi.nlm.nih.gov/geo/ (accessed 7 October 2026). (Source of the single-cell and T-cell receptor analyses in Supplementary Material S1.)</w:t>
      </w:r>
    </w:p>
    <w:p>
      <w:pPr>
        <w:pStyle w:val="Normal"/>
      </w:pPr>
      <w:r>
        <w:t xml:space="preserve">9. Liberzon A.; Birger C.; Thorvaldsdóttir H.; Ghandi M.; Mesirov J.P.; Tamayo P. The Molecular Signatures Database (MSigDB) hallmark gene set collection. Cell Syst. 2015, 1, 417–425. (Source of the feature annotations used in model development.)</w:t>
      </w:r>
    </w:p>
    <w:p>
      <w:pPr>
        <w:pStyle w:val="Normal"/>
      </w:pPr>
      <w:r>
        <w:t xml:space="preserve">10. Hanley J.A.; McNeil B.J. The meaning and use of the area under a receiver operating characteristic (ROC) curve. Radiology 1982, 143, 29–36. (Standard error of the AUC, and the basis of the power calculation in Section 2.8.)</w:t>
      </w:r>
    </w:p>
    <w:p>
      <w:pPr>
        <w:pStyle w:val="Normal"/>
      </w:pPr>
      <w:r>
        <w:t xml:space="preserve">11. DerSimonian R.; Laird N. Meta-analysis in clinical trials. Control. Clin. Trials. 1986, 7, 177–188. (Method for the study-level pooling in Section 2.8.)</w:t>
      </w:r>
    </w:p>
    <w:p>
      <w:pPr>
        <w:pStyle w:val="Normal"/>
      </w:pPr>
      <w:r>
        <w:t xml:space="preserve">12. Deeks J.J.; Keating J.; Leeflang M.M.G. A hierarchy of diagnostic tests. Ann. Intern. Med. 2008, 148, 175–176.</w:t>
      </w:r>
    </w:p>
    <w:p>
      <w:pPr>
        <w:pStyle w:val="Normal"/>
      </w:pPr>
      <w:r>
        <w:t xml:space="preserve">13. Hanley J.A.; Lippman-Hand A. If a coin is tossed 3 times, is it fair? JAMA. 1983, 250, 2563–2566.</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6"/>
      <w:szCs w:val="16"/>
    </w:rPr>
  </w:style>
</w:styles>
</file>

<file path=word/_rels/document.xml.rels>&#65279;<?xml version="1.0" encoding="utf-8"?><Relationships xmlns="http://schemas.openxmlformats.org/package/2006/relationships"><Relationship Type="http://schemas.openxmlformats.org/officeDocument/2006/relationships/styles" Target="/word/styles.xml" Id="Rb3aea741bc2b47f8" /><Relationship Type="http://schemas.openxmlformats.org/officeDocument/2006/relationships/image" Target="/media/image.png" Id="R89f94e820e6242dc" /><Relationship Type="http://schemas.openxmlformats.org/officeDocument/2006/relationships/image" Target="/media/image2.png" Id="R32290956121a4843" /><Relationship Type="http://schemas.openxmlformats.org/officeDocument/2006/relationships/image" Target="/media/image3.png" Id="Rb239cb66e6804246" /><Relationship Type="http://schemas.openxmlformats.org/officeDocument/2006/relationships/image" Target="/media/image4.png" Id="R33fe8ae208fa447e" /></Relationships>
</file>