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Fournitures De Bureau Denis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114.97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